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E3" w:rsidRPr="00A40C50" w:rsidRDefault="002009E1" w:rsidP="00143126">
      <w:pPr>
        <w:spacing w:before="240" w:after="0" w:line="240" w:lineRule="auto"/>
        <w:jc w:val="center"/>
        <w:rPr>
          <w:bCs/>
          <w:color w:val="C00000"/>
          <w:sz w:val="100"/>
          <w:szCs w:val="100"/>
        </w:rPr>
      </w:pPr>
      <w:r w:rsidRPr="00A40C50">
        <w:rPr>
          <w:rFonts w:ascii="Avenir Black" w:hAnsi="Avenir Black"/>
          <w:b/>
          <w:bCs/>
          <w:noProof/>
          <w:color w:val="C00000"/>
          <w:sz w:val="100"/>
          <w:szCs w:val="100"/>
          <w:lang w:val="en-CA" w:eastAsia="en-CA"/>
        </w:rPr>
        <w:drawing>
          <wp:anchor distT="0" distB="0" distL="114300" distR="114300" simplePos="0" relativeHeight="251671552" behindDoc="0" locked="0" layoutInCell="1" allowOverlap="1">
            <wp:simplePos x="0" y="0"/>
            <wp:positionH relativeFrom="column">
              <wp:posOffset>2984500</wp:posOffset>
            </wp:positionH>
            <wp:positionV relativeFrom="paragraph">
              <wp:posOffset>-155575</wp:posOffset>
            </wp:positionV>
            <wp:extent cx="839470" cy="911225"/>
            <wp:effectExtent l="0" t="0" r="0" b="3175"/>
            <wp:wrapNone/>
            <wp:docPr id="9" name="Picture 9" descr="../../../../VINCEs%20Folder/GBG-images/maple_le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CEs%20Folder/GBG-images/maple_leaf.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9470" cy="911225"/>
                    </a:xfrm>
                    <a:prstGeom prst="rect">
                      <a:avLst/>
                    </a:prstGeom>
                    <a:noFill/>
                    <a:ln>
                      <a:noFill/>
                    </a:ln>
                  </pic:spPr>
                </pic:pic>
              </a:graphicData>
            </a:graphic>
          </wp:anchor>
        </w:drawing>
      </w:r>
      <w:r w:rsidR="000002ED" w:rsidRPr="00A40C50">
        <w:rPr>
          <w:rFonts w:ascii="Avenir Black" w:hAnsi="Avenir Black"/>
          <w:b/>
          <w:bCs/>
          <w:noProof/>
          <w:color w:val="C00000"/>
          <w:sz w:val="100"/>
          <w:szCs w:val="100"/>
          <w:lang w:val="en-CA" w:eastAsia="en-CA"/>
        </w:rPr>
        <w:drawing>
          <wp:anchor distT="0" distB="0" distL="114300" distR="114300" simplePos="0" relativeHeight="251666432" behindDoc="0" locked="0" layoutInCell="1" allowOverlap="1">
            <wp:simplePos x="0" y="0"/>
            <wp:positionH relativeFrom="column">
              <wp:posOffset>-137795</wp:posOffset>
            </wp:positionH>
            <wp:positionV relativeFrom="paragraph">
              <wp:posOffset>-157480</wp:posOffset>
            </wp:positionV>
            <wp:extent cx="1329690" cy="796925"/>
            <wp:effectExtent l="0" t="0" r="0" b="0"/>
            <wp:wrapNone/>
            <wp:docPr id="4" name="Picture 4" descr="../../../../LOGOs/ben-allia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ben-alliance-logo.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9690" cy="796925"/>
                    </a:xfrm>
                    <a:prstGeom prst="rect">
                      <a:avLst/>
                    </a:prstGeom>
                    <a:noFill/>
                    <a:ln>
                      <a:noFill/>
                    </a:ln>
                  </pic:spPr>
                </pic:pic>
              </a:graphicData>
            </a:graphic>
          </wp:anchor>
        </w:drawing>
      </w:r>
    </w:p>
    <w:p w:rsidR="00C31E9A" w:rsidRPr="00FE5D83" w:rsidRDefault="00D72EC1" w:rsidP="00020AB6">
      <w:pPr>
        <w:spacing w:before="240" w:after="360" w:line="240" w:lineRule="auto"/>
        <w:jc w:val="center"/>
        <w:rPr>
          <w:color w:val="1F7DB3"/>
          <w:spacing w:val="-20"/>
          <w:sz w:val="60"/>
          <w:szCs w:val="60"/>
        </w:rPr>
      </w:pPr>
      <w:r>
        <w:rPr>
          <w:bCs/>
          <w:color w:val="C00000"/>
          <w:sz w:val="60"/>
          <w:szCs w:val="60"/>
        </w:rPr>
        <w:t xml:space="preserve">2018 Guide to </w:t>
      </w:r>
      <w:r w:rsidR="00925231">
        <w:rPr>
          <w:rFonts w:ascii="Avenir Heavy" w:hAnsi="Avenir Heavy"/>
          <w:b/>
          <w:bCs/>
          <w:color w:val="1F7DB3"/>
          <w:spacing w:val="-20"/>
          <w:sz w:val="60"/>
          <w:szCs w:val="60"/>
        </w:rPr>
        <w:t>Government</w:t>
      </w:r>
      <w:r w:rsidR="00925231" w:rsidRPr="00FE5D83">
        <w:rPr>
          <w:rFonts w:ascii="Avenir Heavy" w:hAnsi="Avenir Heavy"/>
          <w:b/>
          <w:bCs/>
          <w:color w:val="1F7DB3"/>
          <w:spacing w:val="-20"/>
          <w:sz w:val="60"/>
          <w:szCs w:val="60"/>
        </w:rPr>
        <w:t xml:space="preserve"> </w:t>
      </w:r>
      <w:r w:rsidR="00F16B4C" w:rsidRPr="00925231">
        <w:rPr>
          <w:rFonts w:ascii="Avenir Heavy" w:hAnsi="Avenir Heavy"/>
          <w:b/>
          <w:bCs/>
          <w:color w:val="808080" w:themeColor="background1" w:themeShade="80"/>
          <w:spacing w:val="-20"/>
          <w:sz w:val="60"/>
          <w:szCs w:val="60"/>
        </w:rPr>
        <w:t>Benefits</w:t>
      </w:r>
    </w:p>
    <w:p w:rsidR="00F16B4C" w:rsidRDefault="00F16B4C" w:rsidP="00925231">
      <w:pPr>
        <w:pStyle w:val="Organization"/>
      </w:pPr>
      <w:r w:rsidRPr="00F0277E">
        <w:t>CANADA PENSION PLAN</w:t>
      </w:r>
    </w:p>
    <w:tbl>
      <w:tblPr>
        <w:tblStyle w:val="TableGrid"/>
        <w:tblW w:w="5000" w:type="pct"/>
        <w:tblLook w:val="04A0"/>
      </w:tblPr>
      <w:tblGrid>
        <w:gridCol w:w="6962"/>
        <w:gridCol w:w="1901"/>
        <w:gridCol w:w="2153"/>
      </w:tblGrid>
      <w:tr w:rsidR="00F16B4C" w:rsidRPr="00F0277E" w:rsidTr="00C31E9A">
        <w:trPr>
          <w:trHeight w:val="845"/>
        </w:trPr>
        <w:tc>
          <w:tcPr>
            <w:tcW w:w="3160" w:type="pct"/>
            <w:tcBorders>
              <w:bottom w:val="nil"/>
              <w:right w:val="nil"/>
            </w:tcBorders>
            <w:shd w:val="clear" w:color="auto" w:fill="E5EBF7"/>
            <w:vAlign w:val="center"/>
          </w:tcPr>
          <w:p w:rsidR="00F16B4C" w:rsidRPr="00F0277E" w:rsidRDefault="00F16B4C" w:rsidP="000947DB">
            <w:pPr>
              <w:rPr>
                <w:b/>
                <w:sz w:val="24"/>
              </w:rPr>
            </w:pPr>
            <w:r w:rsidRPr="00F0277E">
              <w:rPr>
                <w:b/>
                <w:sz w:val="24"/>
              </w:rPr>
              <w:t>Canada Pension Plan Contributions &amp; Benefits</w:t>
            </w:r>
          </w:p>
        </w:tc>
        <w:tc>
          <w:tcPr>
            <w:tcW w:w="1840" w:type="pct"/>
            <w:gridSpan w:val="2"/>
            <w:tcBorders>
              <w:left w:val="nil"/>
              <w:bottom w:val="nil"/>
            </w:tcBorders>
            <w:shd w:val="clear" w:color="auto" w:fill="E5EBF7"/>
            <w:vAlign w:val="center"/>
          </w:tcPr>
          <w:p w:rsidR="00F16B4C" w:rsidRPr="00F0277E" w:rsidRDefault="00F16B4C" w:rsidP="000947DB">
            <w:pPr>
              <w:jc w:val="center"/>
              <w:rPr>
                <w:b/>
                <w:sz w:val="24"/>
              </w:rPr>
            </w:pPr>
            <w:r w:rsidRPr="00F0277E">
              <w:rPr>
                <w:b/>
                <w:sz w:val="24"/>
              </w:rPr>
              <w:t>201</w:t>
            </w:r>
            <w:r w:rsidR="00F063F9">
              <w:rPr>
                <w:b/>
                <w:sz w:val="24"/>
              </w:rPr>
              <w:t>8</w:t>
            </w:r>
          </w:p>
        </w:tc>
      </w:tr>
      <w:tr w:rsidR="00F16B4C" w:rsidRPr="008C4848" w:rsidTr="00C31E9A">
        <w:trPr>
          <w:trHeight w:val="360"/>
        </w:trPr>
        <w:tc>
          <w:tcPr>
            <w:tcW w:w="3160" w:type="pct"/>
            <w:tcBorders>
              <w:top w:val="nil"/>
              <w:bottom w:val="nil"/>
              <w:right w:val="nil"/>
            </w:tcBorders>
            <w:vAlign w:val="center"/>
          </w:tcPr>
          <w:p w:rsidR="00F16B4C" w:rsidRPr="008C4848" w:rsidRDefault="00F16B4C" w:rsidP="000947DB">
            <w:pPr>
              <w:rPr>
                <w:b/>
              </w:rPr>
            </w:pPr>
            <w:r w:rsidRPr="008C4848">
              <w:rPr>
                <w:b/>
              </w:rPr>
              <w:t>Yearly Max</w:t>
            </w:r>
            <w:r w:rsidR="001675BA">
              <w:rPr>
                <w:b/>
              </w:rPr>
              <w:t>imum</w:t>
            </w:r>
            <w:r w:rsidRPr="008C4848">
              <w:rPr>
                <w:b/>
              </w:rPr>
              <w:t xml:space="preserve"> Pensionable Earnings (YMPE)</w:t>
            </w:r>
          </w:p>
        </w:tc>
        <w:tc>
          <w:tcPr>
            <w:tcW w:w="1840" w:type="pct"/>
            <w:gridSpan w:val="2"/>
            <w:tcBorders>
              <w:top w:val="nil"/>
              <w:left w:val="nil"/>
              <w:bottom w:val="nil"/>
            </w:tcBorders>
            <w:vAlign w:val="center"/>
          </w:tcPr>
          <w:p w:rsidR="00F16B4C" w:rsidRPr="008C4848" w:rsidRDefault="00F16B4C" w:rsidP="000947DB">
            <w:pPr>
              <w:jc w:val="center"/>
            </w:pPr>
            <w:r w:rsidRPr="008C4848">
              <w:t>$55,</w:t>
            </w:r>
            <w:r w:rsidR="00C20AF2" w:rsidRPr="008C4848">
              <w:t>9</w:t>
            </w:r>
            <w:r w:rsidRPr="008C4848">
              <w:t>00</w:t>
            </w:r>
          </w:p>
        </w:tc>
      </w:tr>
      <w:tr w:rsidR="00F16B4C" w:rsidRPr="008C4848" w:rsidTr="00C31E9A">
        <w:trPr>
          <w:trHeight w:val="360"/>
        </w:trPr>
        <w:tc>
          <w:tcPr>
            <w:tcW w:w="3160" w:type="pct"/>
            <w:tcBorders>
              <w:top w:val="nil"/>
              <w:bottom w:val="nil"/>
              <w:right w:val="nil"/>
            </w:tcBorders>
            <w:vAlign w:val="center"/>
          </w:tcPr>
          <w:p w:rsidR="00F16B4C" w:rsidRPr="008C4848" w:rsidRDefault="00F16B4C" w:rsidP="000947DB">
            <w:pPr>
              <w:rPr>
                <w:b/>
              </w:rPr>
            </w:pPr>
            <w:r w:rsidRPr="008C4848">
              <w:rPr>
                <w:b/>
              </w:rPr>
              <w:t>Basic Exemption</w:t>
            </w:r>
          </w:p>
        </w:tc>
        <w:tc>
          <w:tcPr>
            <w:tcW w:w="1840" w:type="pct"/>
            <w:gridSpan w:val="2"/>
            <w:tcBorders>
              <w:top w:val="nil"/>
              <w:left w:val="nil"/>
              <w:bottom w:val="nil"/>
            </w:tcBorders>
            <w:vAlign w:val="center"/>
          </w:tcPr>
          <w:p w:rsidR="00F16B4C" w:rsidRPr="008C4848" w:rsidRDefault="00F16B4C" w:rsidP="000947DB">
            <w:pPr>
              <w:jc w:val="center"/>
            </w:pPr>
            <w:r w:rsidRPr="008C4848">
              <w:t>$3,500</w:t>
            </w:r>
          </w:p>
        </w:tc>
      </w:tr>
      <w:tr w:rsidR="00F16B4C" w:rsidRPr="008C4848" w:rsidTr="00020AB6">
        <w:tc>
          <w:tcPr>
            <w:tcW w:w="3160" w:type="pct"/>
            <w:tcBorders>
              <w:top w:val="nil"/>
              <w:bottom w:val="nil"/>
              <w:right w:val="nil"/>
            </w:tcBorders>
            <w:shd w:val="clear" w:color="auto" w:fill="E5EBF7"/>
            <w:vAlign w:val="center"/>
          </w:tcPr>
          <w:p w:rsidR="00F16B4C" w:rsidRPr="008C4848" w:rsidRDefault="00F16B4C" w:rsidP="000947DB">
            <w:pPr>
              <w:rPr>
                <w:b/>
              </w:rPr>
            </w:pPr>
            <w:r w:rsidRPr="008C4848">
              <w:rPr>
                <w:b/>
              </w:rPr>
              <w:t>Contribution Rate / Annual Contributions (max</w:t>
            </w:r>
            <w:r w:rsidR="001675BA">
              <w:rPr>
                <w:b/>
              </w:rPr>
              <w:t>imum</w:t>
            </w:r>
            <w:r w:rsidRPr="008C4848">
              <w:rPr>
                <w:b/>
              </w:rPr>
              <w:t>)</w:t>
            </w:r>
          </w:p>
        </w:tc>
        <w:tc>
          <w:tcPr>
            <w:tcW w:w="863" w:type="pct"/>
            <w:tcBorders>
              <w:top w:val="nil"/>
              <w:left w:val="nil"/>
              <w:bottom w:val="nil"/>
              <w:right w:val="nil"/>
            </w:tcBorders>
            <w:shd w:val="clear" w:color="auto" w:fill="E5EBF7"/>
            <w:vAlign w:val="center"/>
          </w:tcPr>
          <w:p w:rsidR="00F16B4C" w:rsidRPr="008C4848" w:rsidRDefault="00F16B4C" w:rsidP="000947DB"/>
        </w:tc>
        <w:tc>
          <w:tcPr>
            <w:tcW w:w="977" w:type="pct"/>
            <w:tcBorders>
              <w:top w:val="nil"/>
              <w:left w:val="nil"/>
              <w:bottom w:val="nil"/>
            </w:tcBorders>
            <w:shd w:val="clear" w:color="auto" w:fill="E5EBF7"/>
            <w:vAlign w:val="center"/>
          </w:tcPr>
          <w:p w:rsidR="00F16B4C" w:rsidRPr="008C4848" w:rsidRDefault="00F16B4C" w:rsidP="000947DB"/>
        </w:tc>
      </w:tr>
      <w:tr w:rsidR="00F16B4C" w:rsidRPr="008C4848" w:rsidTr="00020AB6">
        <w:tc>
          <w:tcPr>
            <w:tcW w:w="3160" w:type="pct"/>
            <w:tcBorders>
              <w:top w:val="nil"/>
              <w:bottom w:val="nil"/>
              <w:right w:val="nil"/>
            </w:tcBorders>
            <w:shd w:val="clear" w:color="auto" w:fill="E5EBF7"/>
            <w:vAlign w:val="center"/>
          </w:tcPr>
          <w:p w:rsidR="00F16B4C" w:rsidRPr="008C4848" w:rsidRDefault="00F16B4C" w:rsidP="000947DB">
            <w:pPr>
              <w:ind w:left="720"/>
            </w:pPr>
            <w:r w:rsidRPr="008C4848">
              <w:t>Employer</w:t>
            </w:r>
          </w:p>
        </w:tc>
        <w:tc>
          <w:tcPr>
            <w:tcW w:w="863" w:type="pct"/>
            <w:tcBorders>
              <w:top w:val="nil"/>
              <w:left w:val="nil"/>
              <w:bottom w:val="nil"/>
              <w:right w:val="nil"/>
            </w:tcBorders>
            <w:shd w:val="clear" w:color="auto" w:fill="E5EBF7"/>
            <w:vAlign w:val="center"/>
          </w:tcPr>
          <w:p w:rsidR="00F16B4C" w:rsidRPr="008C4848" w:rsidRDefault="00F16B4C" w:rsidP="000947DB">
            <w:pPr>
              <w:jc w:val="center"/>
            </w:pPr>
            <w:r w:rsidRPr="008C4848">
              <w:t>4.95%</w:t>
            </w:r>
          </w:p>
        </w:tc>
        <w:tc>
          <w:tcPr>
            <w:tcW w:w="977" w:type="pct"/>
            <w:tcBorders>
              <w:top w:val="nil"/>
              <w:left w:val="nil"/>
              <w:bottom w:val="nil"/>
            </w:tcBorders>
            <w:shd w:val="clear" w:color="auto" w:fill="E5EBF7"/>
            <w:vAlign w:val="center"/>
          </w:tcPr>
          <w:p w:rsidR="00F16B4C" w:rsidRPr="008C4848" w:rsidRDefault="00F16B4C" w:rsidP="000947DB">
            <w:pPr>
              <w:jc w:val="center"/>
            </w:pPr>
            <w:r w:rsidRPr="008C4848">
              <w:t>$2,5</w:t>
            </w:r>
            <w:r w:rsidR="00C07208" w:rsidRPr="008C4848">
              <w:t>93</w:t>
            </w:r>
            <w:r w:rsidRPr="008C4848">
              <w:t>.</w:t>
            </w:r>
            <w:r w:rsidR="00C07208" w:rsidRPr="008C4848">
              <w:t>8</w:t>
            </w:r>
            <w:r w:rsidRPr="008C4848">
              <w:t>0</w:t>
            </w:r>
          </w:p>
        </w:tc>
      </w:tr>
      <w:tr w:rsidR="00F16B4C" w:rsidRPr="008C4848" w:rsidTr="00020AB6">
        <w:tc>
          <w:tcPr>
            <w:tcW w:w="3160" w:type="pct"/>
            <w:tcBorders>
              <w:top w:val="nil"/>
              <w:bottom w:val="nil"/>
              <w:right w:val="nil"/>
            </w:tcBorders>
            <w:shd w:val="clear" w:color="auto" w:fill="E5EBF7"/>
            <w:vAlign w:val="center"/>
          </w:tcPr>
          <w:p w:rsidR="00F16B4C" w:rsidRPr="008C4848" w:rsidRDefault="00F16B4C" w:rsidP="000947DB">
            <w:pPr>
              <w:ind w:left="720"/>
            </w:pPr>
            <w:r w:rsidRPr="008C4848">
              <w:t>Employee</w:t>
            </w:r>
          </w:p>
        </w:tc>
        <w:tc>
          <w:tcPr>
            <w:tcW w:w="863" w:type="pct"/>
            <w:tcBorders>
              <w:top w:val="nil"/>
              <w:left w:val="nil"/>
              <w:bottom w:val="nil"/>
              <w:right w:val="nil"/>
            </w:tcBorders>
            <w:shd w:val="clear" w:color="auto" w:fill="E5EBF7"/>
            <w:vAlign w:val="center"/>
          </w:tcPr>
          <w:p w:rsidR="00F16B4C" w:rsidRPr="008C4848" w:rsidRDefault="00F16B4C" w:rsidP="000947DB">
            <w:pPr>
              <w:jc w:val="center"/>
            </w:pPr>
            <w:r w:rsidRPr="008C4848">
              <w:t>4.95%</w:t>
            </w:r>
          </w:p>
        </w:tc>
        <w:tc>
          <w:tcPr>
            <w:tcW w:w="977" w:type="pct"/>
            <w:tcBorders>
              <w:top w:val="nil"/>
              <w:left w:val="nil"/>
              <w:bottom w:val="nil"/>
            </w:tcBorders>
            <w:shd w:val="clear" w:color="auto" w:fill="E5EBF7"/>
            <w:vAlign w:val="center"/>
          </w:tcPr>
          <w:p w:rsidR="00F16B4C" w:rsidRPr="008C4848" w:rsidRDefault="00C07208" w:rsidP="000947DB">
            <w:pPr>
              <w:jc w:val="center"/>
            </w:pPr>
            <w:r w:rsidRPr="008C4848">
              <w:t>$2,593.80</w:t>
            </w:r>
          </w:p>
        </w:tc>
      </w:tr>
      <w:tr w:rsidR="00F16B4C" w:rsidRPr="008C4848" w:rsidTr="00020AB6">
        <w:tc>
          <w:tcPr>
            <w:tcW w:w="3160" w:type="pct"/>
            <w:tcBorders>
              <w:top w:val="nil"/>
              <w:bottom w:val="nil"/>
              <w:right w:val="nil"/>
            </w:tcBorders>
            <w:shd w:val="clear" w:color="auto" w:fill="E5EBF7"/>
            <w:vAlign w:val="center"/>
          </w:tcPr>
          <w:p w:rsidR="00F16B4C" w:rsidRPr="008C4848" w:rsidRDefault="00F16B4C" w:rsidP="000947DB">
            <w:pPr>
              <w:ind w:left="720"/>
            </w:pPr>
            <w:r w:rsidRPr="008C4848">
              <w:t>Self-employed</w:t>
            </w:r>
          </w:p>
        </w:tc>
        <w:tc>
          <w:tcPr>
            <w:tcW w:w="863" w:type="pct"/>
            <w:tcBorders>
              <w:top w:val="nil"/>
              <w:left w:val="nil"/>
              <w:bottom w:val="nil"/>
              <w:right w:val="nil"/>
            </w:tcBorders>
            <w:shd w:val="clear" w:color="auto" w:fill="E5EBF7"/>
            <w:vAlign w:val="center"/>
          </w:tcPr>
          <w:p w:rsidR="00F16B4C" w:rsidRPr="008C4848" w:rsidRDefault="00F16B4C" w:rsidP="000947DB">
            <w:pPr>
              <w:jc w:val="center"/>
            </w:pPr>
            <w:r w:rsidRPr="008C4848">
              <w:t>9.90%</w:t>
            </w:r>
          </w:p>
        </w:tc>
        <w:tc>
          <w:tcPr>
            <w:tcW w:w="977" w:type="pct"/>
            <w:tcBorders>
              <w:top w:val="nil"/>
              <w:left w:val="nil"/>
              <w:bottom w:val="nil"/>
            </w:tcBorders>
            <w:shd w:val="clear" w:color="auto" w:fill="E5EBF7"/>
            <w:vAlign w:val="center"/>
          </w:tcPr>
          <w:p w:rsidR="00F16B4C" w:rsidRPr="008C4848" w:rsidRDefault="00F16B4C" w:rsidP="000947DB">
            <w:pPr>
              <w:jc w:val="center"/>
            </w:pPr>
            <w:r w:rsidRPr="008C4848">
              <w:t>$5,</w:t>
            </w:r>
            <w:r w:rsidR="00C07208" w:rsidRPr="008C4848">
              <w:t>187.60</w:t>
            </w:r>
          </w:p>
        </w:tc>
      </w:tr>
      <w:tr w:rsidR="00F16B4C" w:rsidRPr="008C4848" w:rsidTr="00020AB6">
        <w:tc>
          <w:tcPr>
            <w:tcW w:w="3160" w:type="pct"/>
            <w:tcBorders>
              <w:top w:val="nil"/>
              <w:bottom w:val="nil"/>
              <w:right w:val="nil"/>
            </w:tcBorders>
            <w:shd w:val="clear" w:color="auto" w:fill="E5EBF7"/>
            <w:vAlign w:val="center"/>
          </w:tcPr>
          <w:p w:rsidR="00F16B4C" w:rsidRPr="008C4848" w:rsidRDefault="00F16B4C" w:rsidP="000947DB">
            <w:pPr>
              <w:ind w:left="720"/>
            </w:pPr>
            <w:r w:rsidRPr="008C4848">
              <w:t>Retirement Benefit (max</w:t>
            </w:r>
            <w:r w:rsidR="001675BA">
              <w:t>imum</w:t>
            </w:r>
            <w:r w:rsidRPr="008C4848">
              <w:t xml:space="preserve"> at age 65)</w:t>
            </w:r>
          </w:p>
        </w:tc>
        <w:tc>
          <w:tcPr>
            <w:tcW w:w="863" w:type="pct"/>
            <w:tcBorders>
              <w:top w:val="nil"/>
              <w:left w:val="nil"/>
              <w:bottom w:val="nil"/>
              <w:right w:val="nil"/>
            </w:tcBorders>
            <w:shd w:val="clear" w:color="auto" w:fill="E5EBF7"/>
            <w:vAlign w:val="center"/>
          </w:tcPr>
          <w:p w:rsidR="00F16B4C" w:rsidRPr="008C4848" w:rsidRDefault="00F16B4C" w:rsidP="000947DB"/>
        </w:tc>
        <w:tc>
          <w:tcPr>
            <w:tcW w:w="977" w:type="pct"/>
            <w:tcBorders>
              <w:top w:val="nil"/>
              <w:left w:val="nil"/>
              <w:bottom w:val="nil"/>
            </w:tcBorders>
            <w:shd w:val="clear" w:color="auto" w:fill="E5EBF7"/>
            <w:vAlign w:val="center"/>
          </w:tcPr>
          <w:p w:rsidR="00F16B4C" w:rsidRPr="008C4848" w:rsidRDefault="00F16B4C" w:rsidP="000947DB">
            <w:pPr>
              <w:jc w:val="center"/>
            </w:pPr>
            <w:r w:rsidRPr="008C4848">
              <w:t>$1,</w:t>
            </w:r>
            <w:r w:rsidR="00C720E3" w:rsidRPr="008C4848">
              <w:t>134.17</w:t>
            </w:r>
            <w:r w:rsidRPr="008C4848">
              <w:t>/month</w:t>
            </w:r>
          </w:p>
        </w:tc>
      </w:tr>
      <w:tr w:rsidR="00F16B4C" w:rsidRPr="008C4848" w:rsidTr="00020AB6">
        <w:tc>
          <w:tcPr>
            <w:tcW w:w="3160" w:type="pct"/>
            <w:tcBorders>
              <w:top w:val="nil"/>
              <w:bottom w:val="nil"/>
              <w:right w:val="nil"/>
            </w:tcBorders>
            <w:vAlign w:val="center"/>
          </w:tcPr>
          <w:p w:rsidR="00F16B4C" w:rsidRPr="008C4848" w:rsidRDefault="00F16B4C" w:rsidP="000947DB">
            <w:pPr>
              <w:rPr>
                <w:b/>
              </w:rPr>
            </w:pPr>
            <w:r w:rsidRPr="008C4848">
              <w:rPr>
                <w:b/>
              </w:rPr>
              <w:t>Death Benefits</w:t>
            </w:r>
          </w:p>
        </w:tc>
        <w:tc>
          <w:tcPr>
            <w:tcW w:w="863" w:type="pct"/>
            <w:tcBorders>
              <w:top w:val="nil"/>
              <w:left w:val="nil"/>
              <w:bottom w:val="nil"/>
              <w:right w:val="nil"/>
            </w:tcBorders>
            <w:vAlign w:val="center"/>
          </w:tcPr>
          <w:p w:rsidR="00F16B4C" w:rsidRPr="008C4848" w:rsidRDefault="00F16B4C" w:rsidP="000947DB"/>
        </w:tc>
        <w:tc>
          <w:tcPr>
            <w:tcW w:w="977" w:type="pct"/>
            <w:tcBorders>
              <w:top w:val="nil"/>
              <w:left w:val="nil"/>
              <w:bottom w:val="nil"/>
            </w:tcBorders>
            <w:vAlign w:val="center"/>
          </w:tcPr>
          <w:p w:rsidR="00F16B4C" w:rsidRPr="008C4848" w:rsidRDefault="00F16B4C" w:rsidP="000947DB"/>
        </w:tc>
      </w:tr>
      <w:tr w:rsidR="00F16B4C" w:rsidRPr="008C4848" w:rsidTr="00C31E9A">
        <w:tc>
          <w:tcPr>
            <w:tcW w:w="3160" w:type="pct"/>
            <w:tcBorders>
              <w:top w:val="nil"/>
              <w:bottom w:val="nil"/>
              <w:right w:val="nil"/>
            </w:tcBorders>
            <w:vAlign w:val="center"/>
          </w:tcPr>
          <w:p w:rsidR="00F16B4C" w:rsidRPr="008C4848" w:rsidRDefault="00F16B4C" w:rsidP="000947DB">
            <w:pPr>
              <w:ind w:left="720"/>
            </w:pPr>
            <w:r w:rsidRPr="008C4848">
              <w:t>Lump sum</w:t>
            </w:r>
          </w:p>
        </w:tc>
        <w:tc>
          <w:tcPr>
            <w:tcW w:w="1840" w:type="pct"/>
            <w:gridSpan w:val="2"/>
            <w:tcBorders>
              <w:top w:val="nil"/>
              <w:left w:val="nil"/>
              <w:bottom w:val="nil"/>
            </w:tcBorders>
            <w:vAlign w:val="center"/>
          </w:tcPr>
          <w:p w:rsidR="00F16B4C" w:rsidRPr="008C4848" w:rsidRDefault="00F16B4C" w:rsidP="000947DB">
            <w:pPr>
              <w:jc w:val="center"/>
            </w:pPr>
            <w:r w:rsidRPr="008C4848">
              <w:t>$2,500</w:t>
            </w:r>
          </w:p>
        </w:tc>
      </w:tr>
      <w:tr w:rsidR="00F16B4C" w:rsidRPr="008C4848" w:rsidTr="00C31E9A">
        <w:tc>
          <w:tcPr>
            <w:tcW w:w="3160" w:type="pct"/>
            <w:tcBorders>
              <w:top w:val="nil"/>
              <w:bottom w:val="nil"/>
              <w:right w:val="nil"/>
            </w:tcBorders>
            <w:vAlign w:val="center"/>
          </w:tcPr>
          <w:p w:rsidR="00F16B4C" w:rsidRPr="008C4848" w:rsidRDefault="00F16B4C" w:rsidP="000947DB">
            <w:pPr>
              <w:ind w:left="720"/>
            </w:pPr>
            <w:r w:rsidRPr="008C4848">
              <w:t>Survivor’s Benefit (max</w:t>
            </w:r>
            <w:r w:rsidR="001675BA">
              <w:t>imum</w:t>
            </w:r>
            <w:r w:rsidRPr="008C4848">
              <w:t xml:space="preserve"> &lt; age 65)</w:t>
            </w:r>
          </w:p>
        </w:tc>
        <w:tc>
          <w:tcPr>
            <w:tcW w:w="1840" w:type="pct"/>
            <w:gridSpan w:val="2"/>
            <w:tcBorders>
              <w:top w:val="nil"/>
              <w:left w:val="nil"/>
              <w:bottom w:val="nil"/>
            </w:tcBorders>
            <w:vAlign w:val="center"/>
          </w:tcPr>
          <w:p w:rsidR="00F16B4C" w:rsidRPr="008C4848" w:rsidRDefault="00F16B4C" w:rsidP="000947DB">
            <w:pPr>
              <w:jc w:val="center"/>
            </w:pPr>
            <w:r w:rsidRPr="008C4848">
              <w:t>$6</w:t>
            </w:r>
            <w:r w:rsidR="00C720E3" w:rsidRPr="008C4848">
              <w:t>1</w:t>
            </w:r>
            <w:r w:rsidRPr="008C4848">
              <w:t>4.</w:t>
            </w:r>
            <w:r w:rsidR="00C720E3" w:rsidRPr="008C4848">
              <w:t>6</w:t>
            </w:r>
            <w:r w:rsidRPr="008C4848">
              <w:t>2/month</w:t>
            </w:r>
          </w:p>
        </w:tc>
      </w:tr>
      <w:tr w:rsidR="00F16B4C" w:rsidRPr="008C4848" w:rsidTr="00C31E9A">
        <w:tc>
          <w:tcPr>
            <w:tcW w:w="3160" w:type="pct"/>
            <w:tcBorders>
              <w:top w:val="nil"/>
              <w:bottom w:val="nil"/>
              <w:right w:val="nil"/>
            </w:tcBorders>
            <w:vAlign w:val="center"/>
          </w:tcPr>
          <w:p w:rsidR="00F16B4C" w:rsidRPr="008C4848" w:rsidRDefault="00F16B4C" w:rsidP="000947DB">
            <w:pPr>
              <w:ind w:left="720"/>
            </w:pPr>
            <w:r w:rsidRPr="008C4848">
              <w:t>Survivor’s Benefit (max</w:t>
            </w:r>
            <w:r w:rsidR="001675BA">
              <w:t>imum</w:t>
            </w:r>
            <w:r w:rsidRPr="008C4848">
              <w:t xml:space="preserve"> </w:t>
            </w:r>
            <w:r w:rsidRPr="008C4848">
              <w:rPr>
                <w:rFonts w:cstheme="minorHAnsi"/>
              </w:rPr>
              <w:t>≥</w:t>
            </w:r>
            <w:r w:rsidRPr="008C4848">
              <w:t xml:space="preserve"> age 65)</w:t>
            </w:r>
          </w:p>
        </w:tc>
        <w:tc>
          <w:tcPr>
            <w:tcW w:w="1840" w:type="pct"/>
            <w:gridSpan w:val="2"/>
            <w:tcBorders>
              <w:top w:val="nil"/>
              <w:left w:val="nil"/>
              <w:bottom w:val="nil"/>
            </w:tcBorders>
            <w:vAlign w:val="center"/>
          </w:tcPr>
          <w:p w:rsidR="00F16B4C" w:rsidRPr="008C4848" w:rsidRDefault="00F16B4C" w:rsidP="000947DB">
            <w:pPr>
              <w:jc w:val="center"/>
            </w:pPr>
            <w:r w:rsidRPr="008C4848">
              <w:t>$</w:t>
            </w:r>
            <w:r w:rsidR="00C720E3" w:rsidRPr="008C4848">
              <w:t>680.50</w:t>
            </w:r>
            <w:r w:rsidRPr="008C4848">
              <w:t>/month</w:t>
            </w:r>
          </w:p>
        </w:tc>
      </w:tr>
      <w:tr w:rsidR="00F16B4C" w:rsidRPr="008C4848" w:rsidTr="00C31E9A">
        <w:tc>
          <w:tcPr>
            <w:tcW w:w="3160" w:type="pct"/>
            <w:tcBorders>
              <w:top w:val="nil"/>
              <w:bottom w:val="nil"/>
              <w:right w:val="nil"/>
            </w:tcBorders>
            <w:vAlign w:val="center"/>
          </w:tcPr>
          <w:p w:rsidR="00F16B4C" w:rsidRPr="008C4848" w:rsidRDefault="00F16B4C" w:rsidP="000947DB">
            <w:pPr>
              <w:ind w:left="720"/>
            </w:pPr>
            <w:r w:rsidRPr="008C4848">
              <w:t>Orphan (per child)</w:t>
            </w:r>
          </w:p>
        </w:tc>
        <w:tc>
          <w:tcPr>
            <w:tcW w:w="1840" w:type="pct"/>
            <w:gridSpan w:val="2"/>
            <w:tcBorders>
              <w:top w:val="nil"/>
              <w:left w:val="nil"/>
              <w:bottom w:val="nil"/>
            </w:tcBorders>
            <w:vAlign w:val="center"/>
          </w:tcPr>
          <w:p w:rsidR="00F16B4C" w:rsidRPr="008C4848" w:rsidRDefault="00F16B4C" w:rsidP="000947DB">
            <w:pPr>
              <w:jc w:val="center"/>
            </w:pPr>
            <w:r w:rsidRPr="008C4848">
              <w:t>$24</w:t>
            </w:r>
            <w:r w:rsidR="00C720E3" w:rsidRPr="008C4848">
              <w:t>4.64</w:t>
            </w:r>
            <w:r w:rsidRPr="008C4848">
              <w:t>/month</w:t>
            </w:r>
          </w:p>
        </w:tc>
      </w:tr>
      <w:tr w:rsidR="00F16B4C" w:rsidRPr="008C4848" w:rsidTr="00020AB6">
        <w:tc>
          <w:tcPr>
            <w:tcW w:w="3160" w:type="pct"/>
            <w:tcBorders>
              <w:top w:val="nil"/>
              <w:bottom w:val="nil"/>
              <w:right w:val="nil"/>
            </w:tcBorders>
            <w:shd w:val="clear" w:color="auto" w:fill="E5EBF7"/>
            <w:vAlign w:val="center"/>
          </w:tcPr>
          <w:p w:rsidR="00F16B4C" w:rsidRPr="008C4848" w:rsidRDefault="00F16B4C" w:rsidP="000947DB">
            <w:pPr>
              <w:rPr>
                <w:b/>
              </w:rPr>
            </w:pPr>
            <w:r w:rsidRPr="008C4848">
              <w:rPr>
                <w:b/>
              </w:rPr>
              <w:t>Disability Benefits</w:t>
            </w:r>
          </w:p>
        </w:tc>
        <w:tc>
          <w:tcPr>
            <w:tcW w:w="863" w:type="pct"/>
            <w:tcBorders>
              <w:top w:val="nil"/>
              <w:left w:val="nil"/>
              <w:bottom w:val="nil"/>
              <w:right w:val="nil"/>
            </w:tcBorders>
            <w:shd w:val="clear" w:color="auto" w:fill="E5EBF7"/>
            <w:vAlign w:val="center"/>
          </w:tcPr>
          <w:p w:rsidR="00F16B4C" w:rsidRPr="008C4848" w:rsidRDefault="00F16B4C" w:rsidP="000947DB"/>
        </w:tc>
        <w:tc>
          <w:tcPr>
            <w:tcW w:w="977" w:type="pct"/>
            <w:tcBorders>
              <w:top w:val="nil"/>
              <w:left w:val="nil"/>
              <w:bottom w:val="nil"/>
            </w:tcBorders>
            <w:shd w:val="clear" w:color="auto" w:fill="E5EBF7"/>
            <w:vAlign w:val="center"/>
          </w:tcPr>
          <w:p w:rsidR="00F16B4C" w:rsidRPr="008C4848" w:rsidRDefault="00F16B4C" w:rsidP="000947DB"/>
        </w:tc>
      </w:tr>
      <w:tr w:rsidR="00F16B4C" w:rsidRPr="008C4848" w:rsidTr="00C31E9A">
        <w:tc>
          <w:tcPr>
            <w:tcW w:w="3160" w:type="pct"/>
            <w:tcBorders>
              <w:top w:val="nil"/>
              <w:bottom w:val="nil"/>
              <w:right w:val="nil"/>
            </w:tcBorders>
            <w:shd w:val="clear" w:color="auto" w:fill="E5EBF7"/>
            <w:vAlign w:val="center"/>
          </w:tcPr>
          <w:p w:rsidR="00F16B4C" w:rsidRPr="008C4848" w:rsidRDefault="00F16B4C" w:rsidP="000947DB">
            <w:pPr>
              <w:ind w:left="720"/>
            </w:pPr>
            <w:r w:rsidRPr="008C4848">
              <w:t>Contributor (max</w:t>
            </w:r>
            <w:r w:rsidR="001675BA">
              <w:t>imum</w:t>
            </w:r>
            <w:r w:rsidRPr="008C4848">
              <w:t>)</w:t>
            </w:r>
          </w:p>
        </w:tc>
        <w:tc>
          <w:tcPr>
            <w:tcW w:w="1840" w:type="pct"/>
            <w:gridSpan w:val="2"/>
            <w:tcBorders>
              <w:top w:val="nil"/>
              <w:left w:val="nil"/>
              <w:bottom w:val="nil"/>
            </w:tcBorders>
            <w:shd w:val="clear" w:color="auto" w:fill="E5EBF7"/>
            <w:vAlign w:val="center"/>
          </w:tcPr>
          <w:p w:rsidR="00F16B4C" w:rsidRPr="008C4848" w:rsidRDefault="00F16B4C" w:rsidP="000947DB">
            <w:pPr>
              <w:jc w:val="center"/>
            </w:pPr>
            <w:r w:rsidRPr="008C4848">
              <w:t>$1,</w:t>
            </w:r>
            <w:r w:rsidR="00C720E3" w:rsidRPr="008C4848">
              <w:t>335.83</w:t>
            </w:r>
          </w:p>
        </w:tc>
      </w:tr>
      <w:tr w:rsidR="00F16B4C" w:rsidRPr="008C4848" w:rsidTr="00C31E9A">
        <w:tc>
          <w:tcPr>
            <w:tcW w:w="3160" w:type="pct"/>
            <w:tcBorders>
              <w:top w:val="nil"/>
              <w:right w:val="nil"/>
            </w:tcBorders>
            <w:shd w:val="clear" w:color="auto" w:fill="E5EBF7"/>
            <w:vAlign w:val="center"/>
          </w:tcPr>
          <w:p w:rsidR="00F16B4C" w:rsidRPr="008C4848" w:rsidRDefault="00F16B4C" w:rsidP="000947DB">
            <w:pPr>
              <w:ind w:left="720"/>
            </w:pPr>
            <w:r w:rsidRPr="008C4848">
              <w:t>Child (per child)</w:t>
            </w:r>
          </w:p>
        </w:tc>
        <w:tc>
          <w:tcPr>
            <w:tcW w:w="1840" w:type="pct"/>
            <w:gridSpan w:val="2"/>
            <w:tcBorders>
              <w:top w:val="nil"/>
              <w:left w:val="nil"/>
            </w:tcBorders>
            <w:shd w:val="clear" w:color="auto" w:fill="E5EBF7"/>
            <w:vAlign w:val="center"/>
          </w:tcPr>
          <w:p w:rsidR="00F16B4C" w:rsidRPr="008C4848" w:rsidRDefault="00F16B4C" w:rsidP="000947DB">
            <w:pPr>
              <w:jc w:val="center"/>
            </w:pPr>
            <w:r w:rsidRPr="008C4848">
              <w:t>$24</w:t>
            </w:r>
            <w:r w:rsidR="00C720E3" w:rsidRPr="008C4848">
              <w:t>4.64</w:t>
            </w:r>
            <w:r w:rsidRPr="008C4848">
              <w:t>/month</w:t>
            </w:r>
          </w:p>
        </w:tc>
      </w:tr>
    </w:tbl>
    <w:p w:rsidR="00C31E9A" w:rsidRPr="008C4848" w:rsidRDefault="00C31E9A" w:rsidP="00020AB6">
      <w:pPr>
        <w:spacing w:before="240" w:line="240" w:lineRule="auto"/>
      </w:pPr>
      <w:r w:rsidRPr="008C4848">
        <w:t>The yearly maximum pensionable earnings (YMPE) will increase in 20</w:t>
      </w:r>
      <w:r w:rsidR="00F47EA9" w:rsidRPr="008C4848">
        <w:t>18</w:t>
      </w:r>
      <w:r w:rsidRPr="008C4848">
        <w:t xml:space="preserve"> to $55,</w:t>
      </w:r>
      <w:r w:rsidR="00C07208" w:rsidRPr="008C4848">
        <w:t>9</w:t>
      </w:r>
      <w:r w:rsidRPr="008C4848">
        <w:t>00 from $5</w:t>
      </w:r>
      <w:r w:rsidR="00C07208" w:rsidRPr="008C4848">
        <w:t>5,3</w:t>
      </w:r>
      <w:r w:rsidRPr="008C4848">
        <w:t>00 in 201</w:t>
      </w:r>
      <w:r w:rsidR="00C07208" w:rsidRPr="008C4848">
        <w:t>7</w:t>
      </w:r>
      <w:r w:rsidRPr="008C4848">
        <w:t>. The basic exemption, along with the contribution rates, will remain unchanged at $3,500.</w:t>
      </w:r>
    </w:p>
    <w:p w:rsidR="00621E0C" w:rsidRPr="00020AB6" w:rsidRDefault="00C31E9A" w:rsidP="00621E0C">
      <w:pPr>
        <w:spacing w:line="240" w:lineRule="auto"/>
      </w:pPr>
      <w:r w:rsidRPr="008C4848">
        <w:t>Your age when you want to take your pension and the length of time you have contributed to CPP will determine your monthly payment amount. If you take your pension before the age of 65, it is reduced by 0.6% for each month you receive it before age 65 (7.2% per year). If you take your pension after age 65, it is increased by 0.7% for each month after age 65 that you delay receiving it up to age 70 (8.4% per year).</w:t>
      </w:r>
      <w:r w:rsidR="00020AB6">
        <w:t xml:space="preserve"> </w:t>
      </w:r>
      <w:r w:rsidRPr="008C4848">
        <w:rPr>
          <w:szCs w:val="16"/>
        </w:rPr>
        <w:t>The indexation rate for benefits in 201</w:t>
      </w:r>
      <w:r w:rsidR="00C07208" w:rsidRPr="008C4848">
        <w:rPr>
          <w:szCs w:val="16"/>
        </w:rPr>
        <w:t>8</w:t>
      </w:r>
      <w:r w:rsidRPr="008C4848">
        <w:rPr>
          <w:szCs w:val="16"/>
        </w:rPr>
        <w:t xml:space="preserve"> is 1.</w:t>
      </w:r>
      <w:r w:rsidR="00C07208" w:rsidRPr="008C4848">
        <w:rPr>
          <w:szCs w:val="16"/>
        </w:rPr>
        <w:t>5</w:t>
      </w:r>
      <w:r w:rsidRPr="008C4848">
        <w:rPr>
          <w:szCs w:val="16"/>
        </w:rPr>
        <w:t>%.</w:t>
      </w:r>
    </w:p>
    <w:p w:rsidR="00F40A30" w:rsidRDefault="0035640C" w:rsidP="00020AB6">
      <w:pPr>
        <w:spacing w:after="0"/>
        <w:rPr>
          <w:rStyle w:val="Hyperlink"/>
          <w:szCs w:val="22"/>
        </w:rPr>
      </w:pPr>
      <w:hyperlink r:id="rId11" w:history="1">
        <w:r w:rsidR="00621E0C" w:rsidRPr="00AC64C5">
          <w:rPr>
            <w:rStyle w:val="Hyperlink"/>
            <w:szCs w:val="22"/>
          </w:rPr>
          <w:t>https://www.canada.ca/en/revenue-agency/services/tax/businesses/topics/payroll/payroll-deductions-contributions/canada-pension-plan-cpp/cpp-contribution-rates-maximums-exemptions.html</w:t>
        </w:r>
      </w:hyperlink>
    </w:p>
    <w:p w:rsidR="00C720E3" w:rsidRDefault="0035640C" w:rsidP="00692A72">
      <w:pPr>
        <w:spacing w:after="0" w:line="240" w:lineRule="auto"/>
        <w:rPr>
          <w:rStyle w:val="Hyperlink"/>
          <w:szCs w:val="22"/>
        </w:rPr>
      </w:pPr>
      <w:hyperlink r:id="rId12" w:history="1">
        <w:r w:rsidR="00020AB6" w:rsidRPr="00032CE1">
          <w:rPr>
            <w:rStyle w:val="Hyperlink"/>
            <w:szCs w:val="22"/>
          </w:rPr>
          <w:t>https://www.canada.ca/en/services/benefits/publicpensions/cpp/cpp-benefit/amount.html</w:t>
        </w:r>
      </w:hyperlink>
    </w:p>
    <w:p w:rsidR="00020AB6" w:rsidRDefault="00020AB6" w:rsidP="00692A72">
      <w:pPr>
        <w:spacing w:after="0" w:line="240" w:lineRule="auto"/>
        <w:rPr>
          <w:rStyle w:val="Hyperlink"/>
          <w:szCs w:val="22"/>
        </w:rPr>
      </w:pPr>
    </w:p>
    <w:p w:rsidR="00C31E9A" w:rsidRDefault="00692A72" w:rsidP="00621E0C">
      <w:pPr>
        <w:spacing w:line="240" w:lineRule="auto"/>
        <w:rPr>
          <w:rStyle w:val="Hyperlink"/>
          <w:szCs w:val="22"/>
        </w:rPr>
      </w:pPr>
      <w:r>
        <w:t xml:space="preserve">From 2019 to 2023, there will be a 1% increase (from 4.95% to 5.95%) in the employee’s contribution rate on earnings between $3,500 to the original earnings limit. In 2024, employees will start to contribute 4% on an additional range of earnings, starting at the original earnings limit (estimated to be $69,700 in 2025) and go to the additional earnings limit, which will be 14% higher by 2025 (estimated to be $79,400). </w:t>
      </w:r>
      <w:r w:rsidR="00C31E9A" w:rsidRPr="00F40A30">
        <w:rPr>
          <w:rStyle w:val="Hyperlink"/>
          <w:szCs w:val="22"/>
        </w:rPr>
        <w:br w:type="page"/>
      </w:r>
    </w:p>
    <w:p w:rsidR="00295DE3" w:rsidRPr="00C33F81" w:rsidRDefault="00F16B4C" w:rsidP="0005342E">
      <w:pPr>
        <w:pStyle w:val="Organization"/>
      </w:pPr>
      <w:r w:rsidRPr="00C33F81">
        <w:lastRenderedPageBreak/>
        <w:t>EMPLOYMENT INSURANCE</w:t>
      </w:r>
    </w:p>
    <w:tbl>
      <w:tblPr>
        <w:tblStyle w:val="TableGrid"/>
        <w:tblW w:w="5000" w:type="pct"/>
        <w:tblLook w:val="04A0"/>
      </w:tblPr>
      <w:tblGrid>
        <w:gridCol w:w="8566"/>
        <w:gridCol w:w="2450"/>
      </w:tblGrid>
      <w:tr w:rsidR="00F16B4C" w:rsidRPr="00F0277E" w:rsidTr="008E4B69">
        <w:trPr>
          <w:trHeight w:val="1070"/>
        </w:trPr>
        <w:tc>
          <w:tcPr>
            <w:tcW w:w="3888" w:type="pct"/>
            <w:tcBorders>
              <w:bottom w:val="nil"/>
              <w:right w:val="nil"/>
            </w:tcBorders>
            <w:shd w:val="clear" w:color="auto" w:fill="E5EBF7"/>
            <w:vAlign w:val="center"/>
          </w:tcPr>
          <w:p w:rsidR="00F16B4C" w:rsidRPr="00F0277E" w:rsidRDefault="00F16B4C" w:rsidP="000947DB">
            <w:pPr>
              <w:rPr>
                <w:b/>
                <w:sz w:val="24"/>
              </w:rPr>
            </w:pPr>
            <w:r w:rsidRPr="00F0277E">
              <w:rPr>
                <w:b/>
                <w:sz w:val="24"/>
              </w:rPr>
              <w:t>Employment Insurance Benefits</w:t>
            </w:r>
          </w:p>
        </w:tc>
        <w:tc>
          <w:tcPr>
            <w:tcW w:w="1112" w:type="pct"/>
            <w:tcBorders>
              <w:left w:val="nil"/>
              <w:bottom w:val="nil"/>
            </w:tcBorders>
            <w:shd w:val="clear" w:color="auto" w:fill="E5EBF7"/>
            <w:vAlign w:val="center"/>
          </w:tcPr>
          <w:p w:rsidR="00F16B4C" w:rsidRPr="00F0277E" w:rsidRDefault="00F16B4C" w:rsidP="000947DB">
            <w:pPr>
              <w:jc w:val="center"/>
              <w:rPr>
                <w:b/>
                <w:sz w:val="24"/>
              </w:rPr>
            </w:pPr>
            <w:r w:rsidRPr="00F0277E">
              <w:rPr>
                <w:b/>
                <w:sz w:val="24"/>
              </w:rPr>
              <w:t>201</w:t>
            </w:r>
            <w:r w:rsidR="00F063F9">
              <w:rPr>
                <w:b/>
                <w:sz w:val="24"/>
              </w:rPr>
              <w:t>8</w:t>
            </w:r>
          </w:p>
        </w:tc>
      </w:tr>
      <w:tr w:rsidR="00F16B4C" w:rsidRPr="00F0277E" w:rsidTr="008E4B69">
        <w:trPr>
          <w:trHeight w:val="360"/>
        </w:trPr>
        <w:tc>
          <w:tcPr>
            <w:tcW w:w="3888" w:type="pct"/>
            <w:tcBorders>
              <w:top w:val="nil"/>
              <w:bottom w:val="nil"/>
              <w:right w:val="nil"/>
            </w:tcBorders>
            <w:vAlign w:val="center"/>
          </w:tcPr>
          <w:p w:rsidR="00F16B4C" w:rsidRPr="00970B77" w:rsidRDefault="00F16B4C" w:rsidP="000947DB">
            <w:pPr>
              <w:rPr>
                <w:b/>
              </w:rPr>
            </w:pPr>
            <w:r w:rsidRPr="00970B77">
              <w:rPr>
                <w:b/>
              </w:rPr>
              <w:t>Max</w:t>
            </w:r>
            <w:r w:rsidR="001675BA">
              <w:rPr>
                <w:b/>
              </w:rPr>
              <w:t>imum</w:t>
            </w:r>
            <w:r w:rsidRPr="00970B77">
              <w:rPr>
                <w:b/>
              </w:rPr>
              <w:t xml:space="preserve"> yearly insurable earnings</w:t>
            </w:r>
          </w:p>
        </w:tc>
        <w:tc>
          <w:tcPr>
            <w:tcW w:w="1112" w:type="pct"/>
            <w:tcBorders>
              <w:top w:val="nil"/>
              <w:left w:val="nil"/>
              <w:bottom w:val="nil"/>
            </w:tcBorders>
            <w:vAlign w:val="center"/>
          </w:tcPr>
          <w:p w:rsidR="00F16B4C" w:rsidRPr="008C4848" w:rsidRDefault="00F16B4C" w:rsidP="000947DB">
            <w:pPr>
              <w:jc w:val="center"/>
            </w:pPr>
            <w:r w:rsidRPr="008C4848">
              <w:t>$51,</w:t>
            </w:r>
            <w:r w:rsidR="00FB6FA0" w:rsidRPr="008C4848">
              <w:t>7</w:t>
            </w:r>
            <w:r w:rsidRPr="008C4848">
              <w:t>00</w:t>
            </w:r>
          </w:p>
        </w:tc>
      </w:tr>
      <w:tr w:rsidR="00F16B4C" w:rsidRPr="00F0277E" w:rsidTr="008E4B69">
        <w:trPr>
          <w:trHeight w:val="360"/>
        </w:trPr>
        <w:tc>
          <w:tcPr>
            <w:tcW w:w="3888" w:type="pct"/>
            <w:tcBorders>
              <w:top w:val="nil"/>
              <w:bottom w:val="nil"/>
              <w:right w:val="nil"/>
            </w:tcBorders>
            <w:vAlign w:val="center"/>
          </w:tcPr>
          <w:p w:rsidR="00F16B4C" w:rsidRPr="00970B77" w:rsidRDefault="00F16B4C" w:rsidP="007C1D2A">
            <w:pPr>
              <w:spacing w:after="120"/>
              <w:rPr>
                <w:b/>
              </w:rPr>
            </w:pPr>
            <w:r w:rsidRPr="00970B77">
              <w:rPr>
                <w:b/>
              </w:rPr>
              <w:t>Max</w:t>
            </w:r>
            <w:r w:rsidR="001675BA">
              <w:rPr>
                <w:b/>
              </w:rPr>
              <w:t>imum</w:t>
            </w:r>
            <w:r w:rsidRPr="00970B77">
              <w:rPr>
                <w:b/>
              </w:rPr>
              <w:t xml:space="preserve"> weekly benefit based on 55% of ave</w:t>
            </w:r>
            <w:r w:rsidR="00C35062">
              <w:rPr>
                <w:b/>
              </w:rPr>
              <w:t>rage</w:t>
            </w:r>
            <w:r w:rsidRPr="00970B77">
              <w:rPr>
                <w:b/>
              </w:rPr>
              <w:t xml:space="preserve"> insured earnings</w:t>
            </w:r>
          </w:p>
        </w:tc>
        <w:tc>
          <w:tcPr>
            <w:tcW w:w="1112" w:type="pct"/>
            <w:tcBorders>
              <w:top w:val="nil"/>
              <w:left w:val="nil"/>
              <w:bottom w:val="nil"/>
            </w:tcBorders>
            <w:vAlign w:val="center"/>
          </w:tcPr>
          <w:p w:rsidR="00F16B4C" w:rsidRPr="008C4848" w:rsidRDefault="00F16B4C" w:rsidP="000947DB">
            <w:pPr>
              <w:jc w:val="center"/>
            </w:pPr>
            <w:r w:rsidRPr="008C4848">
              <w:t>$5</w:t>
            </w:r>
            <w:r w:rsidR="00F40A30" w:rsidRPr="008C4848">
              <w:t>47</w:t>
            </w:r>
          </w:p>
        </w:tc>
      </w:tr>
      <w:tr w:rsidR="00F16B4C" w:rsidRPr="00F0277E" w:rsidTr="008E4B69">
        <w:tc>
          <w:tcPr>
            <w:tcW w:w="3888" w:type="pct"/>
            <w:tcBorders>
              <w:top w:val="nil"/>
              <w:bottom w:val="nil"/>
              <w:right w:val="nil"/>
            </w:tcBorders>
            <w:shd w:val="clear" w:color="auto" w:fill="E5EBF7"/>
            <w:vAlign w:val="center"/>
          </w:tcPr>
          <w:p w:rsidR="00F16B4C" w:rsidRPr="00970B77" w:rsidRDefault="00F16B4C" w:rsidP="000947DB">
            <w:pPr>
              <w:rPr>
                <w:b/>
              </w:rPr>
            </w:pPr>
            <w:r w:rsidRPr="00970B77">
              <w:rPr>
                <w:b/>
              </w:rPr>
              <w:t>Required Employee Contributions</w:t>
            </w:r>
          </w:p>
        </w:tc>
        <w:tc>
          <w:tcPr>
            <w:tcW w:w="1112" w:type="pct"/>
            <w:tcBorders>
              <w:top w:val="nil"/>
              <w:left w:val="nil"/>
              <w:bottom w:val="nil"/>
            </w:tcBorders>
            <w:shd w:val="clear" w:color="auto" w:fill="E5EBF7"/>
            <w:vAlign w:val="center"/>
          </w:tcPr>
          <w:p w:rsidR="00F16B4C" w:rsidRPr="008C4848" w:rsidRDefault="00F16B4C" w:rsidP="000947DB"/>
        </w:tc>
      </w:tr>
      <w:tr w:rsidR="00F16B4C" w:rsidRPr="00F0277E" w:rsidTr="008E4B69">
        <w:tc>
          <w:tcPr>
            <w:tcW w:w="3888" w:type="pct"/>
            <w:tcBorders>
              <w:top w:val="nil"/>
              <w:bottom w:val="nil"/>
              <w:right w:val="nil"/>
            </w:tcBorders>
            <w:shd w:val="clear" w:color="auto" w:fill="E5EBF7"/>
            <w:vAlign w:val="center"/>
          </w:tcPr>
          <w:p w:rsidR="00F16B4C" w:rsidRPr="00970B77" w:rsidRDefault="00F16B4C" w:rsidP="000947DB">
            <w:pPr>
              <w:ind w:left="720"/>
            </w:pPr>
            <w:r w:rsidRPr="00970B77">
              <w:t>As a percentage of insurable earnings</w:t>
            </w:r>
          </w:p>
        </w:tc>
        <w:tc>
          <w:tcPr>
            <w:tcW w:w="1112" w:type="pct"/>
            <w:tcBorders>
              <w:top w:val="nil"/>
              <w:left w:val="nil"/>
              <w:bottom w:val="nil"/>
            </w:tcBorders>
            <w:shd w:val="clear" w:color="auto" w:fill="E5EBF7"/>
            <w:vAlign w:val="center"/>
          </w:tcPr>
          <w:p w:rsidR="00F16B4C" w:rsidRPr="008C4848" w:rsidRDefault="00F16B4C" w:rsidP="000947DB">
            <w:pPr>
              <w:jc w:val="center"/>
            </w:pPr>
            <w:r w:rsidRPr="008C4848">
              <w:t>1.6</w:t>
            </w:r>
            <w:r w:rsidR="00F40A30" w:rsidRPr="008C4848">
              <w:t>6</w:t>
            </w:r>
            <w:r w:rsidRPr="008C4848">
              <w:t>%</w:t>
            </w:r>
          </w:p>
        </w:tc>
      </w:tr>
      <w:tr w:rsidR="00F16B4C" w:rsidRPr="00F0277E" w:rsidTr="008E4B69">
        <w:tc>
          <w:tcPr>
            <w:tcW w:w="3888" w:type="pct"/>
            <w:tcBorders>
              <w:top w:val="nil"/>
              <w:bottom w:val="nil"/>
              <w:right w:val="nil"/>
            </w:tcBorders>
            <w:shd w:val="clear" w:color="auto" w:fill="E5EBF7"/>
            <w:vAlign w:val="center"/>
          </w:tcPr>
          <w:p w:rsidR="00F16B4C" w:rsidRPr="00970B77" w:rsidRDefault="00F16B4C" w:rsidP="007C1D2A">
            <w:pPr>
              <w:spacing w:after="120"/>
              <w:ind w:left="720"/>
            </w:pPr>
            <w:r w:rsidRPr="00970B77">
              <w:t>Max</w:t>
            </w:r>
            <w:r w:rsidR="001675BA">
              <w:t>imum</w:t>
            </w:r>
            <w:r w:rsidRPr="00970B77">
              <w:t xml:space="preserve"> employee contribution per annum</w:t>
            </w:r>
          </w:p>
        </w:tc>
        <w:tc>
          <w:tcPr>
            <w:tcW w:w="1112" w:type="pct"/>
            <w:tcBorders>
              <w:top w:val="nil"/>
              <w:left w:val="nil"/>
              <w:bottom w:val="nil"/>
            </w:tcBorders>
            <w:shd w:val="clear" w:color="auto" w:fill="E5EBF7"/>
            <w:vAlign w:val="center"/>
          </w:tcPr>
          <w:p w:rsidR="00F16B4C" w:rsidRPr="008C4848" w:rsidRDefault="00F16B4C" w:rsidP="000947DB">
            <w:pPr>
              <w:jc w:val="center"/>
            </w:pPr>
            <w:r w:rsidRPr="008C4848">
              <w:t>$</w:t>
            </w:r>
            <w:r w:rsidR="00F40A30" w:rsidRPr="008C4848">
              <w:t>858.22</w:t>
            </w:r>
          </w:p>
        </w:tc>
      </w:tr>
      <w:tr w:rsidR="00F16B4C" w:rsidRPr="00F0277E" w:rsidTr="008E4B69">
        <w:tc>
          <w:tcPr>
            <w:tcW w:w="3888" w:type="pct"/>
            <w:tcBorders>
              <w:top w:val="nil"/>
              <w:bottom w:val="nil"/>
              <w:right w:val="nil"/>
            </w:tcBorders>
            <w:vAlign w:val="center"/>
          </w:tcPr>
          <w:p w:rsidR="00F16B4C" w:rsidRPr="00970B77" w:rsidRDefault="00F16B4C" w:rsidP="000947DB">
            <w:pPr>
              <w:rPr>
                <w:b/>
              </w:rPr>
            </w:pPr>
            <w:r w:rsidRPr="00970B77">
              <w:rPr>
                <w:b/>
              </w:rPr>
              <w:t>Required Employer Contributions</w:t>
            </w:r>
          </w:p>
        </w:tc>
        <w:tc>
          <w:tcPr>
            <w:tcW w:w="1112" w:type="pct"/>
            <w:tcBorders>
              <w:top w:val="nil"/>
              <w:left w:val="nil"/>
              <w:bottom w:val="nil"/>
            </w:tcBorders>
            <w:vAlign w:val="center"/>
          </w:tcPr>
          <w:p w:rsidR="00F16B4C" w:rsidRPr="008C4848" w:rsidRDefault="00F16B4C" w:rsidP="000947DB"/>
        </w:tc>
      </w:tr>
      <w:tr w:rsidR="00F16B4C" w:rsidRPr="00F0277E" w:rsidTr="008E4B69">
        <w:tc>
          <w:tcPr>
            <w:tcW w:w="3888" w:type="pct"/>
            <w:tcBorders>
              <w:top w:val="nil"/>
              <w:bottom w:val="nil"/>
              <w:right w:val="nil"/>
            </w:tcBorders>
            <w:vAlign w:val="center"/>
          </w:tcPr>
          <w:p w:rsidR="00F16B4C" w:rsidRPr="00970B77" w:rsidRDefault="00F16B4C" w:rsidP="000947DB">
            <w:r w:rsidRPr="00970B77">
              <w:t>Premium reduced for registered wage loss replacement plan*</w:t>
            </w:r>
          </w:p>
        </w:tc>
        <w:tc>
          <w:tcPr>
            <w:tcW w:w="1112" w:type="pct"/>
            <w:tcBorders>
              <w:top w:val="nil"/>
              <w:left w:val="nil"/>
              <w:bottom w:val="nil"/>
            </w:tcBorders>
            <w:vAlign w:val="center"/>
          </w:tcPr>
          <w:p w:rsidR="00F16B4C" w:rsidRPr="008C4848" w:rsidRDefault="00F16B4C" w:rsidP="000947DB">
            <w:pPr>
              <w:jc w:val="center"/>
            </w:pPr>
          </w:p>
        </w:tc>
      </w:tr>
      <w:tr w:rsidR="00F16B4C" w:rsidRPr="00F0277E" w:rsidTr="008E4B69">
        <w:tc>
          <w:tcPr>
            <w:tcW w:w="3888" w:type="pct"/>
            <w:tcBorders>
              <w:top w:val="nil"/>
              <w:bottom w:val="nil"/>
              <w:right w:val="nil"/>
            </w:tcBorders>
            <w:vAlign w:val="center"/>
          </w:tcPr>
          <w:p w:rsidR="00F16B4C" w:rsidRPr="00970B77" w:rsidRDefault="00F16B4C" w:rsidP="000947DB">
            <w:pPr>
              <w:ind w:left="720"/>
            </w:pPr>
            <w:r w:rsidRPr="00970B77">
              <w:t xml:space="preserve">As a multiple of employee contribution </w:t>
            </w:r>
          </w:p>
          <w:p w:rsidR="00F16B4C" w:rsidRPr="00970B77" w:rsidRDefault="00F16B4C" w:rsidP="000947DB">
            <w:pPr>
              <w:ind w:left="720"/>
            </w:pPr>
            <w:r w:rsidRPr="00970B77">
              <w:t>- no registered premium reduction program</w:t>
            </w:r>
          </w:p>
        </w:tc>
        <w:tc>
          <w:tcPr>
            <w:tcW w:w="1112" w:type="pct"/>
            <w:tcBorders>
              <w:top w:val="nil"/>
              <w:left w:val="nil"/>
              <w:bottom w:val="nil"/>
            </w:tcBorders>
            <w:vAlign w:val="center"/>
          </w:tcPr>
          <w:p w:rsidR="00F16B4C" w:rsidRPr="008C4848" w:rsidRDefault="00F16B4C" w:rsidP="000947DB">
            <w:pPr>
              <w:jc w:val="center"/>
            </w:pPr>
            <w:r w:rsidRPr="008C4848">
              <w:t>1.</w:t>
            </w:r>
            <w:r w:rsidR="00692A72">
              <w:t>4</w:t>
            </w:r>
            <w:r w:rsidRPr="008C4848">
              <w:t>0%</w:t>
            </w:r>
          </w:p>
        </w:tc>
      </w:tr>
      <w:tr w:rsidR="00F16B4C" w:rsidRPr="00F0277E" w:rsidTr="008E4B69">
        <w:tc>
          <w:tcPr>
            <w:tcW w:w="3888" w:type="pct"/>
            <w:tcBorders>
              <w:top w:val="nil"/>
              <w:bottom w:val="nil"/>
              <w:right w:val="nil"/>
            </w:tcBorders>
            <w:vAlign w:val="center"/>
          </w:tcPr>
          <w:p w:rsidR="00F16B4C" w:rsidRPr="00970B77" w:rsidRDefault="00F16B4C" w:rsidP="000947DB">
            <w:pPr>
              <w:ind w:left="720"/>
            </w:pPr>
            <w:r w:rsidRPr="00970B77">
              <w:t xml:space="preserve">As a multiple of employee contribution </w:t>
            </w:r>
          </w:p>
          <w:p w:rsidR="00F16B4C" w:rsidRPr="00970B77" w:rsidRDefault="00F16B4C" w:rsidP="000947DB">
            <w:pPr>
              <w:ind w:left="720"/>
            </w:pPr>
            <w:r w:rsidRPr="00970B77">
              <w:t>- with registered premium reduction program</w:t>
            </w:r>
          </w:p>
        </w:tc>
        <w:tc>
          <w:tcPr>
            <w:tcW w:w="1112" w:type="pct"/>
            <w:tcBorders>
              <w:top w:val="nil"/>
              <w:left w:val="nil"/>
              <w:bottom w:val="nil"/>
            </w:tcBorders>
            <w:vAlign w:val="center"/>
          </w:tcPr>
          <w:p w:rsidR="00F16B4C" w:rsidRPr="008C4848" w:rsidRDefault="00F16B4C" w:rsidP="000947DB">
            <w:pPr>
              <w:jc w:val="center"/>
            </w:pPr>
            <w:r w:rsidRPr="008C4848">
              <w:t>1.27</w:t>
            </w:r>
            <w:r w:rsidR="00221788" w:rsidRPr="008C4848">
              <w:t>3</w:t>
            </w:r>
            <w:r w:rsidRPr="008C4848">
              <w:t>%</w:t>
            </w:r>
          </w:p>
        </w:tc>
      </w:tr>
      <w:tr w:rsidR="00F16B4C" w:rsidRPr="00F0277E" w:rsidTr="008E4B69">
        <w:tc>
          <w:tcPr>
            <w:tcW w:w="3888" w:type="pct"/>
            <w:tcBorders>
              <w:top w:val="nil"/>
              <w:bottom w:val="nil"/>
              <w:right w:val="nil"/>
            </w:tcBorders>
            <w:vAlign w:val="center"/>
          </w:tcPr>
          <w:p w:rsidR="00F16B4C" w:rsidRPr="00970B77" w:rsidRDefault="00F16B4C" w:rsidP="000947DB">
            <w:pPr>
              <w:ind w:left="720"/>
            </w:pPr>
            <w:r w:rsidRPr="00970B77">
              <w:t>Max</w:t>
            </w:r>
            <w:r w:rsidR="001675BA">
              <w:t>imum</w:t>
            </w:r>
            <w:r w:rsidRPr="00970B77">
              <w:t xml:space="preserve"> employer contribution per annum</w:t>
            </w:r>
          </w:p>
          <w:p w:rsidR="00F16B4C" w:rsidRPr="00970B77" w:rsidRDefault="00F16B4C" w:rsidP="000947DB">
            <w:pPr>
              <w:ind w:left="720"/>
            </w:pPr>
            <w:r w:rsidRPr="00970B77">
              <w:t>- no registered premium reduction program</w:t>
            </w:r>
          </w:p>
        </w:tc>
        <w:tc>
          <w:tcPr>
            <w:tcW w:w="1112" w:type="pct"/>
            <w:tcBorders>
              <w:top w:val="nil"/>
              <w:left w:val="nil"/>
              <w:bottom w:val="nil"/>
            </w:tcBorders>
            <w:vAlign w:val="center"/>
          </w:tcPr>
          <w:p w:rsidR="00F16B4C" w:rsidRPr="008C4848" w:rsidRDefault="00F16B4C" w:rsidP="000947DB">
            <w:pPr>
              <w:jc w:val="center"/>
            </w:pPr>
            <w:r w:rsidRPr="008C4848">
              <w:t>$</w:t>
            </w:r>
            <w:r w:rsidR="00C720E3" w:rsidRPr="008C4848">
              <w:t>1,201.51</w:t>
            </w:r>
          </w:p>
        </w:tc>
      </w:tr>
      <w:tr w:rsidR="00020AB6" w:rsidRPr="00F0277E" w:rsidTr="00020AB6">
        <w:trPr>
          <w:trHeight w:val="567"/>
        </w:trPr>
        <w:tc>
          <w:tcPr>
            <w:tcW w:w="3888" w:type="pct"/>
            <w:tcBorders>
              <w:top w:val="nil"/>
              <w:right w:val="nil"/>
            </w:tcBorders>
            <w:vAlign w:val="center"/>
          </w:tcPr>
          <w:p w:rsidR="00020AB6" w:rsidRPr="00970B77" w:rsidRDefault="00020AB6" w:rsidP="000947DB">
            <w:pPr>
              <w:ind w:left="720"/>
            </w:pPr>
            <w:r w:rsidRPr="00970B77">
              <w:t>Max</w:t>
            </w:r>
            <w:r>
              <w:t>imum</w:t>
            </w:r>
            <w:r w:rsidRPr="00970B77">
              <w:t xml:space="preserve"> employer contribution per annum </w:t>
            </w:r>
          </w:p>
          <w:p w:rsidR="00020AB6" w:rsidRPr="00970B77" w:rsidRDefault="00020AB6" w:rsidP="007C1D2A">
            <w:pPr>
              <w:spacing w:after="120"/>
              <w:ind w:left="720"/>
            </w:pPr>
            <w:r w:rsidRPr="00970B77">
              <w:t>- with registered premium reduction program</w:t>
            </w:r>
          </w:p>
        </w:tc>
        <w:tc>
          <w:tcPr>
            <w:tcW w:w="1112" w:type="pct"/>
            <w:tcBorders>
              <w:top w:val="nil"/>
              <w:left w:val="nil"/>
            </w:tcBorders>
            <w:vAlign w:val="center"/>
          </w:tcPr>
          <w:p w:rsidR="00020AB6" w:rsidRPr="00692A72" w:rsidRDefault="00020AB6" w:rsidP="000947DB">
            <w:pPr>
              <w:jc w:val="center"/>
            </w:pPr>
            <w:r w:rsidRPr="00692A72">
              <w:t>$1,092.51</w:t>
            </w:r>
          </w:p>
        </w:tc>
      </w:tr>
    </w:tbl>
    <w:p w:rsidR="008E4B69" w:rsidRDefault="008E4B69" w:rsidP="00020AB6">
      <w:pPr>
        <w:spacing w:before="240" w:line="240" w:lineRule="auto"/>
      </w:pPr>
      <w:r w:rsidRPr="008E4B69">
        <w:t xml:space="preserve">The maximum yearly insurable earnings for Employment Insurance will </w:t>
      </w:r>
      <w:r w:rsidRPr="008C4848">
        <w:t>increase for 201</w:t>
      </w:r>
      <w:r w:rsidR="00E5446E">
        <w:t>8</w:t>
      </w:r>
      <w:r w:rsidRPr="008C4848">
        <w:t xml:space="preserve"> to $51,</w:t>
      </w:r>
      <w:r w:rsidR="00F40A30" w:rsidRPr="008C4848">
        <w:t>7</w:t>
      </w:r>
      <w:r w:rsidRPr="008C4848">
        <w:t>00 but the contribution amount will decrease marginally. The maximum weekly benefit will increase to $54</w:t>
      </w:r>
      <w:r w:rsidR="00F40A30" w:rsidRPr="008C4848">
        <w:t>7</w:t>
      </w:r>
      <w:r w:rsidRPr="008C4848">
        <w:t xml:space="preserve"> per week from $5</w:t>
      </w:r>
      <w:r w:rsidR="00F40A30" w:rsidRPr="008C4848">
        <w:t>43</w:t>
      </w:r>
      <w:r w:rsidRPr="008C4848">
        <w:t>; the benefit is still equal to 55% of insured earnings.</w:t>
      </w:r>
    </w:p>
    <w:p w:rsidR="000F4586" w:rsidRPr="008E4B69" w:rsidRDefault="000F4586" w:rsidP="000F4586">
      <w:pPr>
        <w:spacing w:line="240" w:lineRule="auto"/>
      </w:pPr>
      <w:r>
        <w:t>As of December 3, 2017, Employment Insurance special benefits for Parents of Critically Ill Children (PCIC) have been replaced by the Family</w:t>
      </w:r>
      <w:r w:rsidR="001E3F3F">
        <w:t xml:space="preserve"> </w:t>
      </w:r>
      <w:r>
        <w:t>Caregiver Benefit for Children. Maximum benefit period is 35 weeks.</w:t>
      </w:r>
      <w:r w:rsidR="001E3F3F">
        <w:t xml:space="preserve"> </w:t>
      </w:r>
      <w:r>
        <w:t xml:space="preserve">More information is available here: </w:t>
      </w:r>
      <w:hyperlink r:id="rId13" w:history="1">
        <w:r w:rsidR="001E3F3F" w:rsidRPr="00752A9A">
          <w:rPr>
            <w:rStyle w:val="Hyperlink"/>
          </w:rPr>
          <w:t>https://www.canada.ca/en/services/benefits/ei/ei-critically-ill-children.html</w:t>
        </w:r>
      </w:hyperlink>
      <w:r w:rsidR="001E3F3F">
        <w:t xml:space="preserve">. </w:t>
      </w:r>
    </w:p>
    <w:p w:rsidR="00F47EA9" w:rsidRPr="00F47EA9" w:rsidRDefault="00F47EA9" w:rsidP="008E4B69">
      <w:pPr>
        <w:rPr>
          <w:rStyle w:val="Hyperlink"/>
          <w:szCs w:val="22"/>
        </w:rPr>
      </w:pPr>
      <w:r w:rsidRPr="00F47EA9">
        <w:rPr>
          <w:rStyle w:val="Hyperlink"/>
          <w:szCs w:val="22"/>
        </w:rPr>
        <w:t>https://www.canada.ca/en/employment-social-development/programs/ei/ei-list/ei-employers/2018-maximum-insurable-earnings.html</w:t>
      </w:r>
    </w:p>
    <w:p w:rsidR="008E4B69" w:rsidRPr="008E4B69" w:rsidRDefault="008E4B69" w:rsidP="00692A72">
      <w:pPr>
        <w:spacing w:line="240" w:lineRule="auto"/>
      </w:pPr>
      <w:r w:rsidRPr="008E4B69">
        <w:t>Registered wage loss replacement plan eligible for a partial rate reduction (cumulative paid sick leave/pregnancy plans that allow for a min</w:t>
      </w:r>
      <w:r w:rsidR="00010527">
        <w:t>imum</w:t>
      </w:r>
      <w:r w:rsidRPr="008E4B69">
        <w:t xml:space="preserve"> monthly accumulation of one day and for a max</w:t>
      </w:r>
      <w:r w:rsidR="001675BA">
        <w:t>imum</w:t>
      </w:r>
      <w:r w:rsidRPr="008E4B69">
        <w:t xml:space="preserve"> accumulation of at least 75 days.)</w:t>
      </w:r>
    </w:p>
    <w:p w:rsidR="008E4B69" w:rsidRPr="008C4848" w:rsidRDefault="008E4B69" w:rsidP="008E4B69">
      <w:r w:rsidRPr="008E4B69">
        <w:t xml:space="preserve">Qualifying </w:t>
      </w:r>
      <w:r w:rsidRPr="008C4848">
        <w:t>plans must provide benefits at least as generous as EI sickness benefits.</w:t>
      </w:r>
    </w:p>
    <w:p w:rsidR="008E4B69" w:rsidRPr="008E4B69" w:rsidRDefault="008E4B69" w:rsidP="00692A72">
      <w:pPr>
        <w:spacing w:line="240" w:lineRule="auto"/>
      </w:pPr>
      <w:r w:rsidRPr="008C4848">
        <w:t>Additional premium reductions are available based on four distinct categories of qualifying paid sick leave plans. Premium reductions range from $0.21 to $0.39 per $100 of insurable earnings.</w:t>
      </w:r>
      <w:r w:rsidRPr="008E4B69">
        <w:t xml:space="preserve"> </w:t>
      </w:r>
    </w:p>
    <w:p w:rsidR="00140CEE" w:rsidRDefault="0035640C" w:rsidP="00020AB6">
      <w:pPr>
        <w:spacing w:after="0"/>
      </w:pPr>
      <w:hyperlink r:id="rId14" w:history="1">
        <w:r w:rsidR="00140CEE" w:rsidRPr="00DD1367">
          <w:rPr>
            <w:rStyle w:val="Hyperlink"/>
          </w:rPr>
          <w:t>https://www.canada.ca/en/employment-social-development/programs/ei/ei-list/reports/premium/rates2018.html</w:t>
        </w:r>
      </w:hyperlink>
    </w:p>
    <w:p w:rsidR="008E4B69" w:rsidRPr="008E4B69" w:rsidRDefault="0035640C" w:rsidP="00020AB6">
      <w:pPr>
        <w:spacing w:after="120"/>
        <w:rPr>
          <w:szCs w:val="22"/>
        </w:rPr>
      </w:pPr>
      <w:hyperlink r:id="rId15" w:history="1">
        <w:r w:rsidR="008E4B69" w:rsidRPr="008E4B69">
          <w:rPr>
            <w:rStyle w:val="Hyperlink"/>
            <w:szCs w:val="22"/>
          </w:rPr>
          <w:t>http://servicecanada.gc.ca/eng/sc/ei/index.shtml</w:t>
        </w:r>
      </w:hyperlink>
    </w:p>
    <w:p w:rsidR="008E4B69" w:rsidRPr="00F0277E" w:rsidRDefault="0035640C" w:rsidP="00020AB6">
      <w:pPr>
        <w:spacing w:after="120"/>
      </w:pPr>
      <w:hyperlink r:id="rId16" w:history="1">
        <w:r w:rsidR="00221788" w:rsidRPr="00C25650">
          <w:rPr>
            <w:rStyle w:val="Hyperlink"/>
          </w:rPr>
          <w:t>https://www.canada.ca/en/employment-social-development/programs/ei/ei-list/ei-employers/2018-rates-multiples.html</w:t>
        </w:r>
      </w:hyperlink>
      <w:r w:rsidR="00221788">
        <w:t xml:space="preserve"> </w:t>
      </w:r>
    </w:p>
    <w:p w:rsidR="00F16B4C" w:rsidRPr="00F0277E" w:rsidRDefault="008C4848" w:rsidP="00F16B4C">
      <w:r w:rsidRPr="008E4B69">
        <w:t>*Based on a Category 1 Cumulative Sick Leave Plan.</w:t>
      </w:r>
      <w:r w:rsidR="00F16B4C" w:rsidRPr="00F0277E">
        <w:br w:type="page"/>
      </w:r>
    </w:p>
    <w:p w:rsidR="00F16B4C" w:rsidRPr="00C33F81" w:rsidRDefault="00F16B4C" w:rsidP="0005342E">
      <w:pPr>
        <w:pStyle w:val="Organization"/>
      </w:pPr>
      <w:r w:rsidRPr="00C33F81">
        <w:lastRenderedPageBreak/>
        <w:t>PREMIUM TAX RATES</w:t>
      </w:r>
    </w:p>
    <w:p w:rsidR="00F16B4C" w:rsidRPr="00F0277E" w:rsidRDefault="004861C4" w:rsidP="007C1D2A">
      <w:pPr>
        <w:spacing w:line="240" w:lineRule="auto"/>
      </w:pPr>
      <w:r>
        <w:t>Employer</w:t>
      </w:r>
      <w:bookmarkStart w:id="0" w:name="_GoBack"/>
      <w:bookmarkEnd w:id="0"/>
      <w:r w:rsidR="00F16B4C" w:rsidRPr="00F0277E">
        <w:t xml:space="preserve"> sponsored insurance plans are subject to taxes – federal and/or provincial. The table outlines the types of tax charged to plan sponsors as of January 1, 201</w:t>
      </w:r>
      <w:r w:rsidR="00F063F9">
        <w:t>8</w:t>
      </w:r>
      <w:r w:rsidR="00F16B4C" w:rsidRPr="00F0277E">
        <w:t>.</w:t>
      </w:r>
    </w:p>
    <w:tbl>
      <w:tblPr>
        <w:tblStyle w:val="TableGrid"/>
        <w:tblW w:w="0" w:type="auto"/>
        <w:tblBorders>
          <w:insideH w:val="none" w:sz="0" w:space="0" w:color="auto"/>
          <w:insideV w:val="none" w:sz="0" w:space="0" w:color="auto"/>
        </w:tblBorders>
        <w:tblLook w:val="04A0"/>
      </w:tblPr>
      <w:tblGrid>
        <w:gridCol w:w="1149"/>
        <w:gridCol w:w="1211"/>
        <w:gridCol w:w="1149"/>
        <w:gridCol w:w="1225"/>
        <w:gridCol w:w="1097"/>
        <w:gridCol w:w="1236"/>
        <w:gridCol w:w="1316"/>
        <w:gridCol w:w="1180"/>
        <w:gridCol w:w="1453"/>
      </w:tblGrid>
      <w:tr w:rsidR="00F16B4C" w:rsidRPr="0005342E" w:rsidTr="00020AB6">
        <w:tc>
          <w:tcPr>
            <w:tcW w:w="0" w:type="auto"/>
            <w:vMerge w:val="restart"/>
            <w:shd w:val="clear" w:color="auto" w:fill="E5EBF7"/>
            <w:vAlign w:val="bottom"/>
          </w:tcPr>
          <w:p w:rsidR="00F16B4C" w:rsidRDefault="00F16B4C" w:rsidP="00020AB6">
            <w:pPr>
              <w:jc w:val="center"/>
              <w:rPr>
                <w:b/>
              </w:rPr>
            </w:pPr>
            <w:r w:rsidRPr="0005342E">
              <w:rPr>
                <w:b/>
              </w:rPr>
              <w:t>Employee resides in:</w:t>
            </w:r>
          </w:p>
          <w:p w:rsidR="008763BF" w:rsidRPr="0005342E" w:rsidRDefault="008763BF" w:rsidP="00020AB6">
            <w:pPr>
              <w:jc w:val="center"/>
              <w:rPr>
                <w:b/>
              </w:rPr>
            </w:pPr>
          </w:p>
        </w:tc>
        <w:tc>
          <w:tcPr>
            <w:tcW w:w="0" w:type="auto"/>
            <w:gridSpan w:val="2"/>
            <w:tcBorders>
              <w:top w:val="single" w:sz="4" w:space="0" w:color="auto"/>
              <w:bottom w:val="single" w:sz="4" w:space="0" w:color="auto"/>
            </w:tcBorders>
            <w:shd w:val="clear" w:color="auto" w:fill="E5EBF7"/>
            <w:vAlign w:val="center"/>
          </w:tcPr>
          <w:p w:rsidR="00F16B4C" w:rsidRPr="0005342E" w:rsidRDefault="00F16B4C" w:rsidP="000947DB">
            <w:pPr>
              <w:jc w:val="center"/>
              <w:rPr>
                <w:b/>
              </w:rPr>
            </w:pPr>
            <w:r w:rsidRPr="0005342E">
              <w:rPr>
                <w:b/>
              </w:rPr>
              <w:t>Premium Tax</w:t>
            </w:r>
          </w:p>
        </w:tc>
        <w:tc>
          <w:tcPr>
            <w:tcW w:w="0" w:type="auto"/>
            <w:gridSpan w:val="5"/>
            <w:tcBorders>
              <w:top w:val="single" w:sz="4" w:space="0" w:color="auto"/>
              <w:bottom w:val="single" w:sz="4" w:space="0" w:color="auto"/>
            </w:tcBorders>
            <w:shd w:val="clear" w:color="auto" w:fill="E5EBF7"/>
            <w:vAlign w:val="center"/>
          </w:tcPr>
          <w:p w:rsidR="00F16B4C" w:rsidRPr="0005342E" w:rsidRDefault="00F16B4C" w:rsidP="000947DB">
            <w:pPr>
              <w:jc w:val="center"/>
              <w:rPr>
                <w:b/>
              </w:rPr>
            </w:pPr>
            <w:r w:rsidRPr="0005342E">
              <w:rPr>
                <w:b/>
              </w:rPr>
              <w:t>Provincial Sales Tax</w:t>
            </w:r>
          </w:p>
        </w:tc>
        <w:tc>
          <w:tcPr>
            <w:tcW w:w="0" w:type="auto"/>
            <w:tcBorders>
              <w:top w:val="single" w:sz="4" w:space="0" w:color="auto"/>
              <w:bottom w:val="single" w:sz="4" w:space="0" w:color="auto"/>
            </w:tcBorders>
            <w:shd w:val="clear" w:color="auto" w:fill="E5EBF7"/>
            <w:vAlign w:val="center"/>
          </w:tcPr>
          <w:p w:rsidR="00F16B4C" w:rsidRPr="0005342E" w:rsidRDefault="00F16B4C" w:rsidP="00925231">
            <w:pPr>
              <w:rPr>
                <w:b/>
              </w:rPr>
            </w:pPr>
            <w:r w:rsidRPr="0005342E">
              <w:rPr>
                <w:b/>
              </w:rPr>
              <w:t>GST/HST based on place of supply</w:t>
            </w:r>
          </w:p>
        </w:tc>
      </w:tr>
      <w:tr w:rsidR="0005342E" w:rsidRPr="0005342E" w:rsidTr="00020AB6">
        <w:tc>
          <w:tcPr>
            <w:tcW w:w="0" w:type="auto"/>
            <w:vMerge/>
            <w:tcBorders>
              <w:right w:val="single" w:sz="4" w:space="0" w:color="auto"/>
            </w:tcBorders>
            <w:shd w:val="clear" w:color="auto" w:fill="E5EBF7"/>
          </w:tcPr>
          <w:p w:rsidR="00F16B4C" w:rsidRPr="0005342E" w:rsidRDefault="00F16B4C" w:rsidP="000947DB">
            <w:pPr>
              <w:rPr>
                <w:b/>
              </w:rPr>
            </w:pPr>
          </w:p>
        </w:tc>
        <w:tc>
          <w:tcPr>
            <w:tcW w:w="0" w:type="auto"/>
            <w:tcBorders>
              <w:top w:val="single" w:sz="4" w:space="0" w:color="auto"/>
              <w:left w:val="single" w:sz="4" w:space="0" w:color="auto"/>
              <w:bottom w:val="nil"/>
            </w:tcBorders>
            <w:shd w:val="clear" w:color="auto" w:fill="E5EBF7"/>
            <w:vAlign w:val="center"/>
          </w:tcPr>
          <w:p w:rsidR="00F16B4C" w:rsidRPr="0005342E" w:rsidRDefault="00F16B4C" w:rsidP="00925231">
            <w:pPr>
              <w:rPr>
                <w:b/>
              </w:rPr>
            </w:pPr>
            <w:r w:rsidRPr="0005342E">
              <w:rPr>
                <w:b/>
              </w:rPr>
              <w:t>Ind. and group insurance premium</w:t>
            </w:r>
          </w:p>
        </w:tc>
        <w:tc>
          <w:tcPr>
            <w:tcW w:w="0" w:type="auto"/>
            <w:tcBorders>
              <w:top w:val="single" w:sz="4" w:space="0" w:color="auto"/>
            </w:tcBorders>
            <w:shd w:val="clear" w:color="auto" w:fill="E5EBF7"/>
            <w:vAlign w:val="center"/>
          </w:tcPr>
          <w:p w:rsidR="00F16B4C" w:rsidRPr="0005342E" w:rsidRDefault="00F16B4C" w:rsidP="00925231">
            <w:pPr>
              <w:rPr>
                <w:b/>
              </w:rPr>
            </w:pPr>
            <w:r w:rsidRPr="0005342E">
              <w:rPr>
                <w:b/>
              </w:rPr>
              <w:t>ASO plans, HCSAs and Cost Plus</w:t>
            </w:r>
          </w:p>
        </w:tc>
        <w:tc>
          <w:tcPr>
            <w:tcW w:w="0" w:type="auto"/>
            <w:tcBorders>
              <w:top w:val="single" w:sz="4" w:space="0" w:color="auto"/>
            </w:tcBorders>
            <w:shd w:val="clear" w:color="auto" w:fill="E5EBF7"/>
            <w:vAlign w:val="center"/>
          </w:tcPr>
          <w:p w:rsidR="00F16B4C" w:rsidRPr="0005342E" w:rsidRDefault="00F16B4C" w:rsidP="00925231">
            <w:pPr>
              <w:rPr>
                <w:b/>
              </w:rPr>
            </w:pPr>
            <w:r w:rsidRPr="0005342E">
              <w:rPr>
                <w:b/>
              </w:rPr>
              <w:t>Premiums on group insurance</w:t>
            </w:r>
          </w:p>
        </w:tc>
        <w:tc>
          <w:tcPr>
            <w:tcW w:w="0" w:type="auto"/>
            <w:tcBorders>
              <w:top w:val="single" w:sz="4" w:space="0" w:color="auto"/>
            </w:tcBorders>
            <w:shd w:val="clear" w:color="auto" w:fill="E5EBF7"/>
            <w:vAlign w:val="center"/>
          </w:tcPr>
          <w:p w:rsidR="00F16B4C" w:rsidRPr="0005342E" w:rsidRDefault="00F16B4C" w:rsidP="00925231">
            <w:pPr>
              <w:rPr>
                <w:b/>
              </w:rPr>
            </w:pPr>
            <w:r w:rsidRPr="0005342E">
              <w:rPr>
                <w:b/>
              </w:rPr>
              <w:t>Claims for ASO, HCSAs and Cost Plus</w:t>
            </w:r>
          </w:p>
        </w:tc>
        <w:tc>
          <w:tcPr>
            <w:tcW w:w="0" w:type="auto"/>
            <w:tcBorders>
              <w:top w:val="single" w:sz="4" w:space="0" w:color="auto"/>
            </w:tcBorders>
            <w:shd w:val="clear" w:color="auto" w:fill="E5EBF7"/>
            <w:vAlign w:val="center"/>
          </w:tcPr>
          <w:p w:rsidR="00F16B4C" w:rsidRPr="0005342E" w:rsidRDefault="00F16B4C" w:rsidP="00925231">
            <w:pPr>
              <w:rPr>
                <w:b/>
              </w:rPr>
            </w:pPr>
            <w:r w:rsidRPr="0005342E">
              <w:rPr>
                <w:b/>
              </w:rPr>
              <w:t>Fees on ASO plans with pooling, HCSAs and Cost Plus</w:t>
            </w:r>
          </w:p>
        </w:tc>
        <w:tc>
          <w:tcPr>
            <w:tcW w:w="0" w:type="auto"/>
            <w:tcBorders>
              <w:top w:val="single" w:sz="4" w:space="0" w:color="auto"/>
            </w:tcBorders>
            <w:shd w:val="clear" w:color="auto" w:fill="E5EBF7"/>
            <w:vAlign w:val="center"/>
          </w:tcPr>
          <w:p w:rsidR="00F16B4C" w:rsidRPr="0005342E" w:rsidRDefault="00F16B4C" w:rsidP="00925231">
            <w:pPr>
              <w:rPr>
                <w:b/>
              </w:rPr>
            </w:pPr>
            <w:r w:rsidRPr="0005342E">
              <w:rPr>
                <w:b/>
              </w:rPr>
              <w:t>Fees on ASO plans without pooling</w:t>
            </w:r>
          </w:p>
        </w:tc>
        <w:tc>
          <w:tcPr>
            <w:tcW w:w="0" w:type="auto"/>
            <w:tcBorders>
              <w:top w:val="single" w:sz="4" w:space="0" w:color="auto"/>
            </w:tcBorders>
            <w:shd w:val="clear" w:color="auto" w:fill="E5EBF7"/>
            <w:vAlign w:val="center"/>
          </w:tcPr>
          <w:p w:rsidR="00F16B4C" w:rsidRPr="0005342E" w:rsidRDefault="00F16B4C" w:rsidP="00925231">
            <w:pPr>
              <w:rPr>
                <w:b/>
              </w:rPr>
            </w:pPr>
            <w:r w:rsidRPr="0005342E">
              <w:rPr>
                <w:b/>
              </w:rPr>
              <w:t>EAPs and other fee for service products</w:t>
            </w:r>
          </w:p>
        </w:tc>
        <w:tc>
          <w:tcPr>
            <w:tcW w:w="0" w:type="auto"/>
            <w:tcBorders>
              <w:top w:val="single" w:sz="4" w:space="0" w:color="auto"/>
            </w:tcBorders>
            <w:shd w:val="clear" w:color="auto" w:fill="E5EBF7"/>
            <w:vAlign w:val="center"/>
          </w:tcPr>
          <w:p w:rsidR="00F16B4C" w:rsidRPr="0005342E" w:rsidRDefault="00F16B4C" w:rsidP="00925231">
            <w:pPr>
              <w:rPr>
                <w:b/>
              </w:rPr>
            </w:pPr>
            <w:r w:rsidRPr="0005342E">
              <w:rPr>
                <w:b/>
              </w:rPr>
              <w:t>Fees on ASO plans without pooling, EAPs and other fee for service products</w:t>
            </w:r>
          </w:p>
        </w:tc>
      </w:tr>
      <w:tr w:rsidR="00F16B4C" w:rsidRPr="0005342E" w:rsidTr="00020AB6">
        <w:trPr>
          <w:trHeight w:val="368"/>
        </w:trPr>
        <w:tc>
          <w:tcPr>
            <w:tcW w:w="0" w:type="auto"/>
            <w:shd w:val="clear" w:color="auto" w:fill="auto"/>
            <w:vAlign w:val="center"/>
          </w:tcPr>
          <w:p w:rsidR="00F16B4C" w:rsidRPr="0005342E" w:rsidRDefault="00F16B4C" w:rsidP="000947DB">
            <w:pPr>
              <w:jc w:val="center"/>
              <w:rPr>
                <w:b/>
              </w:rPr>
            </w:pPr>
            <w:r w:rsidRPr="0005342E">
              <w:rPr>
                <w:b/>
              </w:rPr>
              <w:t>AB</w:t>
            </w:r>
          </w:p>
        </w:tc>
        <w:tc>
          <w:tcPr>
            <w:tcW w:w="0" w:type="auto"/>
            <w:tcBorders>
              <w:top w:val="nil"/>
            </w:tcBorders>
            <w:shd w:val="clear" w:color="auto" w:fill="auto"/>
            <w:vAlign w:val="center"/>
          </w:tcPr>
          <w:p w:rsidR="00F16B4C" w:rsidRPr="00692A72" w:rsidRDefault="00F16B4C" w:rsidP="000947DB">
            <w:pPr>
              <w:jc w:val="center"/>
            </w:pPr>
            <w:r w:rsidRPr="00692A72">
              <w:t>3%</w:t>
            </w: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r w:rsidRPr="00692A72">
              <w:t>5%</w:t>
            </w:r>
          </w:p>
        </w:tc>
      </w:tr>
      <w:tr w:rsidR="0005342E" w:rsidRPr="0005342E" w:rsidTr="00020AB6">
        <w:trPr>
          <w:trHeight w:val="350"/>
        </w:trPr>
        <w:tc>
          <w:tcPr>
            <w:tcW w:w="0" w:type="auto"/>
            <w:shd w:val="clear" w:color="auto" w:fill="E5EBF7"/>
            <w:vAlign w:val="center"/>
          </w:tcPr>
          <w:p w:rsidR="00F16B4C" w:rsidRPr="0005342E" w:rsidRDefault="00F16B4C" w:rsidP="000947DB">
            <w:pPr>
              <w:jc w:val="center"/>
              <w:rPr>
                <w:b/>
              </w:rPr>
            </w:pPr>
            <w:r w:rsidRPr="0005342E">
              <w:rPr>
                <w:b/>
              </w:rPr>
              <w:t>BC</w:t>
            </w:r>
          </w:p>
        </w:tc>
        <w:tc>
          <w:tcPr>
            <w:tcW w:w="0" w:type="auto"/>
            <w:shd w:val="clear" w:color="auto" w:fill="E5EBF7"/>
            <w:vAlign w:val="center"/>
          </w:tcPr>
          <w:p w:rsidR="00F16B4C" w:rsidRPr="00692A72" w:rsidRDefault="00F16B4C" w:rsidP="000947DB">
            <w:pPr>
              <w:jc w:val="center"/>
            </w:pPr>
            <w:r w:rsidRPr="00692A72">
              <w:t>2%</w:t>
            </w: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r w:rsidRPr="00692A72">
              <w:t>5%</w:t>
            </w:r>
          </w:p>
        </w:tc>
      </w:tr>
      <w:tr w:rsidR="00F16B4C" w:rsidRPr="0005342E" w:rsidTr="00020AB6">
        <w:tc>
          <w:tcPr>
            <w:tcW w:w="0" w:type="auto"/>
            <w:shd w:val="clear" w:color="auto" w:fill="auto"/>
            <w:vAlign w:val="center"/>
          </w:tcPr>
          <w:p w:rsidR="00F16B4C" w:rsidRPr="0005342E" w:rsidRDefault="00F16B4C" w:rsidP="000947DB">
            <w:pPr>
              <w:jc w:val="center"/>
              <w:rPr>
                <w:b/>
              </w:rPr>
            </w:pPr>
            <w:r w:rsidRPr="0005342E">
              <w:rPr>
                <w:b/>
              </w:rPr>
              <w:t>MB</w:t>
            </w:r>
          </w:p>
        </w:tc>
        <w:tc>
          <w:tcPr>
            <w:tcW w:w="0" w:type="auto"/>
            <w:shd w:val="clear" w:color="auto" w:fill="auto"/>
            <w:vAlign w:val="center"/>
          </w:tcPr>
          <w:p w:rsidR="00F16B4C" w:rsidRPr="00692A72" w:rsidRDefault="00F16B4C" w:rsidP="000947DB">
            <w:pPr>
              <w:jc w:val="center"/>
            </w:pPr>
            <w:r w:rsidRPr="00692A72">
              <w:t>2%</w:t>
            </w:r>
          </w:p>
        </w:tc>
        <w:tc>
          <w:tcPr>
            <w:tcW w:w="0" w:type="auto"/>
            <w:shd w:val="clear" w:color="auto" w:fill="auto"/>
            <w:vAlign w:val="center"/>
          </w:tcPr>
          <w:p w:rsidR="00411C61" w:rsidRDefault="00F16B4C" w:rsidP="000947DB">
            <w:pPr>
              <w:jc w:val="center"/>
              <w:rPr>
                <w:sz w:val="16"/>
              </w:rPr>
            </w:pPr>
            <w:r w:rsidRPr="00692A72">
              <w:t xml:space="preserve">8% RST </w:t>
            </w:r>
          </w:p>
          <w:p w:rsidR="00F16B4C" w:rsidRPr="00692A72" w:rsidRDefault="00F16B4C" w:rsidP="000947DB">
            <w:pPr>
              <w:jc w:val="center"/>
            </w:pPr>
            <w:r w:rsidRPr="00411C61">
              <w:rPr>
                <w:sz w:val="18"/>
              </w:rPr>
              <w:t>(except health and dental)</w:t>
            </w: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r w:rsidRPr="00692A72">
              <w:t>5%</w:t>
            </w:r>
          </w:p>
        </w:tc>
      </w:tr>
      <w:tr w:rsidR="0005342E" w:rsidRPr="0005342E" w:rsidTr="00020AB6">
        <w:trPr>
          <w:trHeight w:val="323"/>
        </w:trPr>
        <w:tc>
          <w:tcPr>
            <w:tcW w:w="0" w:type="auto"/>
            <w:shd w:val="clear" w:color="auto" w:fill="E5EBF7"/>
            <w:vAlign w:val="center"/>
          </w:tcPr>
          <w:p w:rsidR="00F16B4C" w:rsidRPr="0005342E" w:rsidRDefault="00F16B4C" w:rsidP="000947DB">
            <w:pPr>
              <w:jc w:val="center"/>
              <w:rPr>
                <w:b/>
              </w:rPr>
            </w:pPr>
            <w:r w:rsidRPr="0005342E">
              <w:rPr>
                <w:b/>
              </w:rPr>
              <w:t>NB</w:t>
            </w:r>
          </w:p>
        </w:tc>
        <w:tc>
          <w:tcPr>
            <w:tcW w:w="0" w:type="auto"/>
            <w:shd w:val="clear" w:color="auto" w:fill="E5EBF7"/>
            <w:vAlign w:val="center"/>
          </w:tcPr>
          <w:p w:rsidR="00F16B4C" w:rsidRPr="00692A72" w:rsidRDefault="00F16B4C" w:rsidP="000947DB">
            <w:pPr>
              <w:jc w:val="center"/>
            </w:pPr>
            <w:r w:rsidRPr="00692A72">
              <w:t>2%</w:t>
            </w: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r w:rsidRPr="00692A72">
              <w:t>15%</w:t>
            </w:r>
          </w:p>
        </w:tc>
      </w:tr>
      <w:tr w:rsidR="00F16B4C" w:rsidRPr="0005342E" w:rsidTr="00020AB6">
        <w:trPr>
          <w:trHeight w:val="332"/>
        </w:trPr>
        <w:tc>
          <w:tcPr>
            <w:tcW w:w="0" w:type="auto"/>
            <w:shd w:val="clear" w:color="auto" w:fill="auto"/>
            <w:vAlign w:val="center"/>
          </w:tcPr>
          <w:p w:rsidR="00F16B4C" w:rsidRPr="0005342E" w:rsidRDefault="00F16B4C" w:rsidP="000947DB">
            <w:pPr>
              <w:jc w:val="center"/>
              <w:rPr>
                <w:b/>
              </w:rPr>
            </w:pPr>
            <w:r w:rsidRPr="0005342E">
              <w:rPr>
                <w:b/>
              </w:rPr>
              <w:t>NL</w:t>
            </w:r>
          </w:p>
        </w:tc>
        <w:tc>
          <w:tcPr>
            <w:tcW w:w="0" w:type="auto"/>
            <w:shd w:val="clear" w:color="auto" w:fill="auto"/>
            <w:vAlign w:val="center"/>
          </w:tcPr>
          <w:p w:rsidR="00F16B4C" w:rsidRPr="00692A72" w:rsidRDefault="00F16B4C" w:rsidP="000947DB">
            <w:pPr>
              <w:jc w:val="center"/>
            </w:pPr>
            <w:r w:rsidRPr="00692A72">
              <w:t>5%</w:t>
            </w:r>
          </w:p>
        </w:tc>
        <w:tc>
          <w:tcPr>
            <w:tcW w:w="0" w:type="auto"/>
            <w:shd w:val="clear" w:color="auto" w:fill="auto"/>
            <w:vAlign w:val="center"/>
          </w:tcPr>
          <w:p w:rsidR="00F16B4C" w:rsidRPr="00692A72" w:rsidRDefault="00F16B4C" w:rsidP="000947DB">
            <w:pPr>
              <w:jc w:val="center"/>
            </w:pPr>
            <w:r w:rsidRPr="00692A72">
              <w:t>5%</w:t>
            </w: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r w:rsidRPr="00692A72">
              <w:t>15%</w:t>
            </w:r>
          </w:p>
        </w:tc>
      </w:tr>
      <w:tr w:rsidR="0005342E" w:rsidRPr="0005342E" w:rsidTr="00020AB6">
        <w:trPr>
          <w:trHeight w:val="368"/>
        </w:trPr>
        <w:tc>
          <w:tcPr>
            <w:tcW w:w="0" w:type="auto"/>
            <w:shd w:val="clear" w:color="auto" w:fill="E5EBF7"/>
            <w:vAlign w:val="center"/>
          </w:tcPr>
          <w:p w:rsidR="00F16B4C" w:rsidRPr="0005342E" w:rsidRDefault="00F16B4C" w:rsidP="000947DB">
            <w:pPr>
              <w:jc w:val="center"/>
              <w:rPr>
                <w:b/>
              </w:rPr>
            </w:pPr>
            <w:r w:rsidRPr="0005342E">
              <w:rPr>
                <w:b/>
              </w:rPr>
              <w:t>NS</w:t>
            </w:r>
          </w:p>
        </w:tc>
        <w:tc>
          <w:tcPr>
            <w:tcW w:w="0" w:type="auto"/>
            <w:shd w:val="clear" w:color="auto" w:fill="E5EBF7"/>
            <w:vAlign w:val="center"/>
          </w:tcPr>
          <w:p w:rsidR="00F16B4C" w:rsidRPr="00692A72" w:rsidRDefault="00F16B4C" w:rsidP="000947DB">
            <w:pPr>
              <w:jc w:val="center"/>
            </w:pPr>
            <w:r w:rsidRPr="00692A72">
              <w:t>3%</w:t>
            </w: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r w:rsidRPr="00692A72">
              <w:t>15%</w:t>
            </w:r>
          </w:p>
        </w:tc>
      </w:tr>
      <w:tr w:rsidR="00F16B4C" w:rsidRPr="0005342E" w:rsidTr="00020AB6">
        <w:trPr>
          <w:trHeight w:val="332"/>
        </w:trPr>
        <w:tc>
          <w:tcPr>
            <w:tcW w:w="0" w:type="auto"/>
            <w:shd w:val="clear" w:color="auto" w:fill="auto"/>
            <w:vAlign w:val="center"/>
          </w:tcPr>
          <w:p w:rsidR="00F16B4C" w:rsidRPr="0005342E" w:rsidRDefault="00F16B4C" w:rsidP="000947DB">
            <w:pPr>
              <w:jc w:val="center"/>
              <w:rPr>
                <w:b/>
              </w:rPr>
            </w:pPr>
            <w:r w:rsidRPr="0005342E">
              <w:rPr>
                <w:b/>
              </w:rPr>
              <w:t>NT</w:t>
            </w:r>
          </w:p>
        </w:tc>
        <w:tc>
          <w:tcPr>
            <w:tcW w:w="0" w:type="auto"/>
            <w:shd w:val="clear" w:color="auto" w:fill="auto"/>
            <w:vAlign w:val="center"/>
          </w:tcPr>
          <w:p w:rsidR="00F16B4C" w:rsidRPr="00692A72" w:rsidRDefault="00F16B4C" w:rsidP="000947DB">
            <w:pPr>
              <w:jc w:val="center"/>
            </w:pPr>
            <w:r w:rsidRPr="00692A72">
              <w:t>3%</w:t>
            </w: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r w:rsidRPr="00692A72">
              <w:t>5%</w:t>
            </w:r>
          </w:p>
        </w:tc>
      </w:tr>
      <w:tr w:rsidR="0005342E" w:rsidRPr="0005342E" w:rsidTr="00020AB6">
        <w:trPr>
          <w:trHeight w:val="368"/>
        </w:trPr>
        <w:tc>
          <w:tcPr>
            <w:tcW w:w="0" w:type="auto"/>
            <w:shd w:val="clear" w:color="auto" w:fill="E5EBF7"/>
            <w:vAlign w:val="center"/>
          </w:tcPr>
          <w:p w:rsidR="00F16B4C" w:rsidRPr="0005342E" w:rsidRDefault="00F16B4C" w:rsidP="000947DB">
            <w:pPr>
              <w:jc w:val="center"/>
              <w:rPr>
                <w:b/>
              </w:rPr>
            </w:pPr>
            <w:r w:rsidRPr="0005342E">
              <w:rPr>
                <w:b/>
              </w:rPr>
              <w:t>NU</w:t>
            </w:r>
          </w:p>
        </w:tc>
        <w:tc>
          <w:tcPr>
            <w:tcW w:w="0" w:type="auto"/>
            <w:shd w:val="clear" w:color="auto" w:fill="E5EBF7"/>
            <w:vAlign w:val="center"/>
          </w:tcPr>
          <w:p w:rsidR="00F16B4C" w:rsidRPr="00692A72" w:rsidRDefault="00F16B4C" w:rsidP="000947DB">
            <w:pPr>
              <w:jc w:val="center"/>
            </w:pPr>
            <w:r w:rsidRPr="00692A72">
              <w:t>3%</w:t>
            </w: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r w:rsidRPr="00692A72">
              <w:t>5%</w:t>
            </w:r>
          </w:p>
        </w:tc>
      </w:tr>
      <w:tr w:rsidR="00F16B4C" w:rsidRPr="0005342E" w:rsidTr="00020AB6">
        <w:tc>
          <w:tcPr>
            <w:tcW w:w="0" w:type="auto"/>
            <w:shd w:val="clear" w:color="auto" w:fill="auto"/>
            <w:vAlign w:val="center"/>
          </w:tcPr>
          <w:p w:rsidR="00F16B4C" w:rsidRPr="0005342E" w:rsidRDefault="00F16B4C" w:rsidP="000947DB">
            <w:pPr>
              <w:jc w:val="center"/>
              <w:rPr>
                <w:b/>
              </w:rPr>
            </w:pPr>
            <w:r w:rsidRPr="0005342E">
              <w:rPr>
                <w:b/>
              </w:rPr>
              <w:t>ON</w:t>
            </w:r>
          </w:p>
        </w:tc>
        <w:tc>
          <w:tcPr>
            <w:tcW w:w="0" w:type="auto"/>
            <w:shd w:val="clear" w:color="auto" w:fill="auto"/>
            <w:vAlign w:val="center"/>
          </w:tcPr>
          <w:p w:rsidR="00F16B4C" w:rsidRPr="00692A72" w:rsidRDefault="00F16B4C" w:rsidP="000947DB">
            <w:pPr>
              <w:jc w:val="center"/>
            </w:pPr>
            <w:r w:rsidRPr="00692A72">
              <w:t>2%</w:t>
            </w:r>
          </w:p>
        </w:tc>
        <w:tc>
          <w:tcPr>
            <w:tcW w:w="0" w:type="auto"/>
            <w:shd w:val="clear" w:color="auto" w:fill="auto"/>
            <w:vAlign w:val="center"/>
          </w:tcPr>
          <w:p w:rsidR="00F16B4C" w:rsidRPr="00692A72" w:rsidRDefault="00F16B4C" w:rsidP="000947DB">
            <w:pPr>
              <w:jc w:val="center"/>
            </w:pPr>
            <w:r w:rsidRPr="00692A72">
              <w:t xml:space="preserve">2% </w:t>
            </w:r>
          </w:p>
          <w:p w:rsidR="00F16B4C" w:rsidRPr="00692A72" w:rsidRDefault="00F16B4C" w:rsidP="000947DB">
            <w:pPr>
              <w:jc w:val="center"/>
            </w:pPr>
            <w:r w:rsidRPr="00411C61">
              <w:rPr>
                <w:sz w:val="18"/>
              </w:rPr>
              <w:t>(except taxable ASO disability income claims and fees)</w:t>
            </w:r>
          </w:p>
        </w:tc>
        <w:tc>
          <w:tcPr>
            <w:tcW w:w="0" w:type="auto"/>
            <w:shd w:val="clear" w:color="auto" w:fill="auto"/>
            <w:vAlign w:val="center"/>
          </w:tcPr>
          <w:p w:rsidR="00F16B4C" w:rsidRPr="00692A72" w:rsidRDefault="00F16B4C" w:rsidP="000947DB">
            <w:pPr>
              <w:jc w:val="center"/>
            </w:pPr>
            <w:r w:rsidRPr="00692A72">
              <w:t>8% RST</w:t>
            </w:r>
          </w:p>
        </w:tc>
        <w:tc>
          <w:tcPr>
            <w:tcW w:w="0" w:type="auto"/>
            <w:shd w:val="clear" w:color="auto" w:fill="auto"/>
            <w:vAlign w:val="center"/>
          </w:tcPr>
          <w:p w:rsidR="00F16B4C" w:rsidRPr="00692A72" w:rsidRDefault="00F16B4C" w:rsidP="000947DB">
            <w:pPr>
              <w:jc w:val="center"/>
            </w:pPr>
            <w:r w:rsidRPr="00692A72">
              <w:t xml:space="preserve">8% </w:t>
            </w:r>
          </w:p>
          <w:p w:rsidR="00F16B4C" w:rsidRPr="00692A72" w:rsidRDefault="00F16B4C" w:rsidP="000947DB">
            <w:pPr>
              <w:jc w:val="center"/>
            </w:pPr>
            <w:r w:rsidRPr="00411C61">
              <w:rPr>
                <w:sz w:val="18"/>
              </w:rPr>
              <w:t>(except taxable ASO disability income claims)</w:t>
            </w:r>
          </w:p>
        </w:tc>
        <w:tc>
          <w:tcPr>
            <w:tcW w:w="0" w:type="auto"/>
            <w:shd w:val="clear" w:color="auto" w:fill="auto"/>
            <w:vAlign w:val="center"/>
          </w:tcPr>
          <w:p w:rsidR="00F16B4C" w:rsidRPr="00692A72" w:rsidRDefault="00F16B4C" w:rsidP="000947DB">
            <w:pPr>
              <w:jc w:val="center"/>
            </w:pPr>
            <w:r w:rsidRPr="00692A72">
              <w:t>8% RST</w:t>
            </w:r>
          </w:p>
        </w:tc>
        <w:tc>
          <w:tcPr>
            <w:tcW w:w="0" w:type="auto"/>
            <w:shd w:val="clear" w:color="auto" w:fill="auto"/>
            <w:vAlign w:val="center"/>
          </w:tcPr>
          <w:p w:rsidR="00F16B4C" w:rsidRPr="00692A72" w:rsidRDefault="00F16B4C" w:rsidP="000947DB">
            <w:pPr>
              <w:jc w:val="center"/>
            </w:pPr>
            <w:r w:rsidRPr="00692A72">
              <w:t xml:space="preserve">8% RST </w:t>
            </w:r>
          </w:p>
          <w:p w:rsidR="00F16B4C" w:rsidRPr="00692A72" w:rsidRDefault="00F16B4C" w:rsidP="000947DB">
            <w:pPr>
              <w:jc w:val="center"/>
            </w:pPr>
            <w:r w:rsidRPr="00411C61">
              <w:rPr>
                <w:sz w:val="18"/>
              </w:rPr>
              <w:t>(when the place of supply is a GST jurisdiction)</w:t>
            </w: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r w:rsidRPr="00692A72">
              <w:t>13%</w:t>
            </w:r>
          </w:p>
        </w:tc>
      </w:tr>
      <w:tr w:rsidR="0005342E" w:rsidRPr="0005342E" w:rsidTr="00020AB6">
        <w:trPr>
          <w:trHeight w:val="368"/>
        </w:trPr>
        <w:tc>
          <w:tcPr>
            <w:tcW w:w="0" w:type="auto"/>
            <w:shd w:val="clear" w:color="auto" w:fill="E5EBF7"/>
            <w:vAlign w:val="center"/>
          </w:tcPr>
          <w:p w:rsidR="00F16B4C" w:rsidRPr="0005342E" w:rsidRDefault="00F16B4C" w:rsidP="000947DB">
            <w:pPr>
              <w:jc w:val="center"/>
              <w:rPr>
                <w:b/>
              </w:rPr>
            </w:pPr>
            <w:r w:rsidRPr="0005342E">
              <w:rPr>
                <w:b/>
              </w:rPr>
              <w:t>PE</w:t>
            </w:r>
          </w:p>
        </w:tc>
        <w:tc>
          <w:tcPr>
            <w:tcW w:w="0" w:type="auto"/>
            <w:shd w:val="clear" w:color="auto" w:fill="E5EBF7"/>
            <w:vAlign w:val="center"/>
          </w:tcPr>
          <w:p w:rsidR="00F16B4C" w:rsidRPr="00692A72" w:rsidRDefault="00F16B4C" w:rsidP="000947DB">
            <w:pPr>
              <w:jc w:val="center"/>
            </w:pPr>
            <w:r w:rsidRPr="00692A72">
              <w:t>3.75%</w:t>
            </w: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r w:rsidRPr="00692A72">
              <w:t>15%</w:t>
            </w:r>
          </w:p>
        </w:tc>
      </w:tr>
      <w:tr w:rsidR="00F16B4C" w:rsidRPr="0005342E" w:rsidTr="00020AB6">
        <w:tc>
          <w:tcPr>
            <w:tcW w:w="0" w:type="auto"/>
            <w:shd w:val="clear" w:color="auto" w:fill="auto"/>
            <w:vAlign w:val="center"/>
          </w:tcPr>
          <w:p w:rsidR="00F16B4C" w:rsidRPr="0005342E" w:rsidRDefault="00F16B4C" w:rsidP="000947DB">
            <w:pPr>
              <w:jc w:val="center"/>
              <w:rPr>
                <w:b/>
              </w:rPr>
            </w:pPr>
            <w:r w:rsidRPr="0005342E">
              <w:rPr>
                <w:b/>
              </w:rPr>
              <w:t>QC</w:t>
            </w:r>
          </w:p>
        </w:tc>
        <w:tc>
          <w:tcPr>
            <w:tcW w:w="0" w:type="auto"/>
            <w:shd w:val="clear" w:color="auto" w:fill="auto"/>
            <w:vAlign w:val="center"/>
          </w:tcPr>
          <w:p w:rsidR="00F16B4C" w:rsidRPr="00692A72" w:rsidRDefault="00F16B4C" w:rsidP="000947DB">
            <w:pPr>
              <w:jc w:val="center"/>
            </w:pPr>
            <w:r w:rsidRPr="00692A72">
              <w:t>3.48%</w:t>
            </w:r>
          </w:p>
        </w:tc>
        <w:tc>
          <w:tcPr>
            <w:tcW w:w="0" w:type="auto"/>
            <w:shd w:val="clear" w:color="auto" w:fill="auto"/>
            <w:vAlign w:val="center"/>
          </w:tcPr>
          <w:p w:rsidR="00F16B4C" w:rsidRPr="00692A72" w:rsidRDefault="00F16B4C" w:rsidP="000947DB">
            <w:pPr>
              <w:jc w:val="center"/>
            </w:pPr>
            <w:r w:rsidRPr="00692A72">
              <w:t>3.48%</w:t>
            </w:r>
          </w:p>
        </w:tc>
        <w:tc>
          <w:tcPr>
            <w:tcW w:w="0" w:type="auto"/>
            <w:shd w:val="clear" w:color="auto" w:fill="auto"/>
            <w:vAlign w:val="center"/>
          </w:tcPr>
          <w:p w:rsidR="00F16B4C" w:rsidRPr="00692A72" w:rsidRDefault="00F16B4C" w:rsidP="000947DB">
            <w:pPr>
              <w:jc w:val="center"/>
            </w:pPr>
            <w:r w:rsidRPr="00692A72">
              <w:t>9% QTIP</w:t>
            </w:r>
          </w:p>
        </w:tc>
        <w:tc>
          <w:tcPr>
            <w:tcW w:w="0" w:type="auto"/>
            <w:shd w:val="clear" w:color="auto" w:fill="auto"/>
            <w:vAlign w:val="center"/>
          </w:tcPr>
          <w:p w:rsidR="00F16B4C" w:rsidRPr="00692A72" w:rsidRDefault="00F16B4C" w:rsidP="000947DB">
            <w:pPr>
              <w:jc w:val="center"/>
            </w:pPr>
            <w:r w:rsidRPr="00692A72">
              <w:t>9% QTIP</w:t>
            </w:r>
          </w:p>
        </w:tc>
        <w:tc>
          <w:tcPr>
            <w:tcW w:w="0" w:type="auto"/>
            <w:shd w:val="clear" w:color="auto" w:fill="auto"/>
            <w:vAlign w:val="center"/>
          </w:tcPr>
          <w:p w:rsidR="00F16B4C" w:rsidRPr="00692A72" w:rsidRDefault="00F16B4C" w:rsidP="000947DB">
            <w:pPr>
              <w:jc w:val="center"/>
            </w:pPr>
            <w:r w:rsidRPr="00692A72">
              <w:t>9% QTIP</w:t>
            </w:r>
          </w:p>
        </w:tc>
        <w:tc>
          <w:tcPr>
            <w:tcW w:w="0" w:type="auto"/>
            <w:shd w:val="clear" w:color="auto" w:fill="auto"/>
            <w:vAlign w:val="center"/>
          </w:tcPr>
          <w:p w:rsidR="00F16B4C" w:rsidRPr="00692A72" w:rsidRDefault="00F16B4C" w:rsidP="000947DB">
            <w:pPr>
              <w:jc w:val="center"/>
            </w:pPr>
            <w:r w:rsidRPr="00692A72">
              <w:t xml:space="preserve">9.975% QST </w:t>
            </w:r>
            <w:r w:rsidRPr="00411C61">
              <w:rPr>
                <w:sz w:val="18"/>
              </w:rPr>
              <w:t>(when the place of supply is Quebec)</w:t>
            </w:r>
          </w:p>
        </w:tc>
        <w:tc>
          <w:tcPr>
            <w:tcW w:w="0" w:type="auto"/>
            <w:shd w:val="clear" w:color="auto" w:fill="auto"/>
            <w:vAlign w:val="center"/>
          </w:tcPr>
          <w:p w:rsidR="00F16B4C" w:rsidRPr="00692A72" w:rsidRDefault="00F16B4C" w:rsidP="000947DB">
            <w:pPr>
              <w:jc w:val="center"/>
            </w:pPr>
            <w:r w:rsidRPr="00692A72">
              <w:t xml:space="preserve">9.975% QST </w:t>
            </w:r>
          </w:p>
          <w:p w:rsidR="00F16B4C" w:rsidRPr="00692A72" w:rsidRDefault="00F16B4C" w:rsidP="000947DB">
            <w:pPr>
              <w:jc w:val="center"/>
            </w:pPr>
            <w:r w:rsidRPr="00411C61">
              <w:rPr>
                <w:sz w:val="18"/>
              </w:rPr>
              <w:t>(when the place of supply is Quebec)</w:t>
            </w:r>
          </w:p>
        </w:tc>
        <w:tc>
          <w:tcPr>
            <w:tcW w:w="0" w:type="auto"/>
            <w:shd w:val="clear" w:color="auto" w:fill="auto"/>
            <w:vAlign w:val="center"/>
          </w:tcPr>
          <w:p w:rsidR="00F16B4C" w:rsidRPr="00692A72" w:rsidRDefault="00F16B4C" w:rsidP="000947DB">
            <w:pPr>
              <w:jc w:val="center"/>
            </w:pPr>
            <w:r w:rsidRPr="00692A72">
              <w:t>5%</w:t>
            </w:r>
          </w:p>
        </w:tc>
      </w:tr>
      <w:tr w:rsidR="0005342E" w:rsidRPr="0005342E" w:rsidTr="00020AB6">
        <w:trPr>
          <w:trHeight w:val="323"/>
        </w:trPr>
        <w:tc>
          <w:tcPr>
            <w:tcW w:w="0" w:type="auto"/>
            <w:shd w:val="clear" w:color="auto" w:fill="E5EBF7"/>
            <w:vAlign w:val="center"/>
          </w:tcPr>
          <w:p w:rsidR="00F16B4C" w:rsidRPr="0005342E" w:rsidRDefault="00F16B4C" w:rsidP="000947DB">
            <w:pPr>
              <w:jc w:val="center"/>
              <w:rPr>
                <w:b/>
              </w:rPr>
            </w:pPr>
            <w:r w:rsidRPr="0005342E">
              <w:rPr>
                <w:b/>
              </w:rPr>
              <w:t>SK</w:t>
            </w:r>
          </w:p>
        </w:tc>
        <w:tc>
          <w:tcPr>
            <w:tcW w:w="0" w:type="auto"/>
            <w:shd w:val="clear" w:color="auto" w:fill="E5EBF7"/>
            <w:vAlign w:val="center"/>
          </w:tcPr>
          <w:p w:rsidR="00F16B4C" w:rsidRPr="00692A72" w:rsidRDefault="00F16B4C" w:rsidP="000947DB">
            <w:pPr>
              <w:jc w:val="center"/>
            </w:pPr>
            <w:r w:rsidRPr="00692A72">
              <w:t>3%</w:t>
            </w: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0B42AD" w:rsidP="000947DB">
            <w:pPr>
              <w:jc w:val="center"/>
            </w:pPr>
            <w:r>
              <w:t>6% PST</w:t>
            </w:r>
          </w:p>
        </w:tc>
        <w:tc>
          <w:tcPr>
            <w:tcW w:w="0" w:type="auto"/>
            <w:shd w:val="clear" w:color="auto" w:fill="E5EBF7"/>
            <w:vAlign w:val="center"/>
          </w:tcPr>
          <w:p w:rsidR="00F16B4C" w:rsidRPr="00692A72" w:rsidRDefault="000B42AD" w:rsidP="000947DB">
            <w:pPr>
              <w:jc w:val="center"/>
            </w:pPr>
            <w:r>
              <w:t>6% PST</w:t>
            </w:r>
          </w:p>
        </w:tc>
        <w:tc>
          <w:tcPr>
            <w:tcW w:w="0" w:type="auto"/>
            <w:shd w:val="clear" w:color="auto" w:fill="E5EBF7"/>
            <w:vAlign w:val="center"/>
          </w:tcPr>
          <w:p w:rsidR="00F16B4C" w:rsidRPr="00692A72" w:rsidRDefault="000B42AD" w:rsidP="000947DB">
            <w:pPr>
              <w:jc w:val="center"/>
            </w:pPr>
            <w:r>
              <w:t>6% PST</w:t>
            </w: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p>
        </w:tc>
        <w:tc>
          <w:tcPr>
            <w:tcW w:w="0" w:type="auto"/>
            <w:shd w:val="clear" w:color="auto" w:fill="E5EBF7"/>
            <w:vAlign w:val="center"/>
          </w:tcPr>
          <w:p w:rsidR="00F16B4C" w:rsidRPr="00692A72" w:rsidRDefault="00F16B4C" w:rsidP="000947DB">
            <w:pPr>
              <w:jc w:val="center"/>
            </w:pPr>
            <w:r w:rsidRPr="00692A72">
              <w:t>5%</w:t>
            </w:r>
          </w:p>
        </w:tc>
      </w:tr>
      <w:tr w:rsidR="00F16B4C" w:rsidRPr="0005342E" w:rsidTr="00020AB6">
        <w:trPr>
          <w:trHeight w:val="350"/>
        </w:trPr>
        <w:tc>
          <w:tcPr>
            <w:tcW w:w="0" w:type="auto"/>
            <w:shd w:val="clear" w:color="auto" w:fill="auto"/>
            <w:vAlign w:val="center"/>
          </w:tcPr>
          <w:p w:rsidR="00F16B4C" w:rsidRPr="0005342E" w:rsidRDefault="00F16B4C" w:rsidP="000947DB">
            <w:pPr>
              <w:jc w:val="center"/>
              <w:rPr>
                <w:b/>
              </w:rPr>
            </w:pPr>
            <w:r w:rsidRPr="0005342E">
              <w:rPr>
                <w:b/>
              </w:rPr>
              <w:t>YT</w:t>
            </w:r>
          </w:p>
        </w:tc>
        <w:tc>
          <w:tcPr>
            <w:tcW w:w="0" w:type="auto"/>
            <w:shd w:val="clear" w:color="auto" w:fill="auto"/>
            <w:vAlign w:val="center"/>
          </w:tcPr>
          <w:p w:rsidR="00F16B4C" w:rsidRPr="00692A72" w:rsidRDefault="00F16B4C" w:rsidP="000947DB">
            <w:pPr>
              <w:jc w:val="center"/>
            </w:pPr>
            <w:r w:rsidRPr="00692A72">
              <w:t>2%</w:t>
            </w: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p>
        </w:tc>
        <w:tc>
          <w:tcPr>
            <w:tcW w:w="0" w:type="auto"/>
            <w:shd w:val="clear" w:color="auto" w:fill="auto"/>
            <w:vAlign w:val="center"/>
          </w:tcPr>
          <w:p w:rsidR="00F16B4C" w:rsidRPr="00692A72" w:rsidRDefault="00F16B4C" w:rsidP="000947DB">
            <w:pPr>
              <w:jc w:val="center"/>
            </w:pPr>
            <w:r w:rsidRPr="00692A72">
              <w:t>5%</w:t>
            </w:r>
          </w:p>
        </w:tc>
      </w:tr>
    </w:tbl>
    <w:p w:rsidR="00C31E9A" w:rsidRDefault="00C31E9A">
      <w:r>
        <w:br w:type="page"/>
      </w:r>
    </w:p>
    <w:p w:rsidR="00295DE3" w:rsidRPr="00C33F81" w:rsidRDefault="00F16B4C" w:rsidP="0005342E">
      <w:pPr>
        <w:pStyle w:val="Organization"/>
      </w:pPr>
      <w:r w:rsidRPr="00C33F81">
        <w:lastRenderedPageBreak/>
        <w:t>WORKERS’ COMPENSATION</w:t>
      </w:r>
    </w:p>
    <w:tbl>
      <w:tblPr>
        <w:tblStyle w:val="TableGrid"/>
        <w:tblW w:w="5000" w:type="pct"/>
        <w:tblBorders>
          <w:insideH w:val="none" w:sz="0" w:space="0" w:color="auto"/>
          <w:insideV w:val="none" w:sz="0" w:space="0" w:color="auto"/>
        </w:tblBorders>
        <w:tblLook w:val="04A0"/>
      </w:tblPr>
      <w:tblGrid>
        <w:gridCol w:w="2402"/>
        <w:gridCol w:w="2928"/>
        <w:gridCol w:w="5686"/>
      </w:tblGrid>
      <w:tr w:rsidR="00F16B4C" w:rsidRPr="0005342E" w:rsidTr="008763BF">
        <w:trPr>
          <w:trHeight w:val="971"/>
        </w:trPr>
        <w:tc>
          <w:tcPr>
            <w:tcW w:w="1090" w:type="pct"/>
            <w:shd w:val="clear" w:color="auto" w:fill="E5EBF7"/>
            <w:vAlign w:val="center"/>
          </w:tcPr>
          <w:p w:rsidR="00F16B4C" w:rsidRPr="0005342E" w:rsidRDefault="00F16B4C" w:rsidP="000947DB">
            <w:pPr>
              <w:jc w:val="center"/>
              <w:rPr>
                <w:b/>
                <w:sz w:val="24"/>
              </w:rPr>
            </w:pPr>
            <w:r w:rsidRPr="0005342E">
              <w:rPr>
                <w:b/>
                <w:sz w:val="24"/>
              </w:rPr>
              <w:t>Jurisdiction</w:t>
            </w:r>
          </w:p>
        </w:tc>
        <w:tc>
          <w:tcPr>
            <w:tcW w:w="1329" w:type="pct"/>
            <w:shd w:val="clear" w:color="auto" w:fill="E5EBF7"/>
            <w:vAlign w:val="center"/>
          </w:tcPr>
          <w:p w:rsidR="00F16B4C" w:rsidRPr="0005342E" w:rsidRDefault="00F16B4C" w:rsidP="000947DB">
            <w:pPr>
              <w:jc w:val="center"/>
              <w:rPr>
                <w:b/>
                <w:sz w:val="24"/>
              </w:rPr>
            </w:pPr>
            <w:r w:rsidRPr="0005342E">
              <w:rPr>
                <w:b/>
                <w:sz w:val="24"/>
              </w:rPr>
              <w:t>Max</w:t>
            </w:r>
            <w:r w:rsidR="001675BA">
              <w:rPr>
                <w:b/>
                <w:sz w:val="24"/>
              </w:rPr>
              <w:t>imum</w:t>
            </w:r>
            <w:r w:rsidRPr="0005342E">
              <w:rPr>
                <w:b/>
                <w:sz w:val="24"/>
              </w:rPr>
              <w:t xml:space="preserve"> Assessable Earnings</w:t>
            </w:r>
          </w:p>
        </w:tc>
        <w:tc>
          <w:tcPr>
            <w:tcW w:w="2580" w:type="pct"/>
            <w:shd w:val="clear" w:color="auto" w:fill="E5EBF7"/>
            <w:vAlign w:val="center"/>
          </w:tcPr>
          <w:p w:rsidR="00F16B4C" w:rsidRPr="0005342E" w:rsidRDefault="00F16B4C" w:rsidP="000947DB">
            <w:pPr>
              <w:jc w:val="center"/>
              <w:rPr>
                <w:b/>
                <w:sz w:val="24"/>
              </w:rPr>
            </w:pPr>
            <w:r w:rsidRPr="0005342E">
              <w:rPr>
                <w:b/>
                <w:sz w:val="24"/>
              </w:rPr>
              <w:t>Wage Loss Benefits</w:t>
            </w:r>
          </w:p>
        </w:tc>
      </w:tr>
      <w:tr w:rsidR="00F16B4C" w:rsidRPr="0005342E" w:rsidTr="00075C3E">
        <w:trPr>
          <w:trHeight w:val="576"/>
        </w:trPr>
        <w:tc>
          <w:tcPr>
            <w:tcW w:w="1090" w:type="pct"/>
            <w:vAlign w:val="center"/>
          </w:tcPr>
          <w:p w:rsidR="00F16B4C" w:rsidRPr="0005342E" w:rsidRDefault="00F16B4C" w:rsidP="000947DB">
            <w:pPr>
              <w:jc w:val="center"/>
              <w:rPr>
                <w:b/>
              </w:rPr>
            </w:pPr>
            <w:r w:rsidRPr="0005342E">
              <w:rPr>
                <w:b/>
              </w:rPr>
              <w:t>AB</w:t>
            </w:r>
          </w:p>
        </w:tc>
        <w:tc>
          <w:tcPr>
            <w:tcW w:w="1329" w:type="pct"/>
            <w:vAlign w:val="center"/>
          </w:tcPr>
          <w:p w:rsidR="00F16B4C" w:rsidRPr="0048693E" w:rsidRDefault="00F16B4C" w:rsidP="000947DB">
            <w:pPr>
              <w:jc w:val="center"/>
            </w:pPr>
            <w:r w:rsidRPr="0048693E">
              <w:t>$98,700</w:t>
            </w:r>
          </w:p>
        </w:tc>
        <w:tc>
          <w:tcPr>
            <w:tcW w:w="2580" w:type="pct"/>
            <w:vAlign w:val="center"/>
          </w:tcPr>
          <w:p w:rsidR="00F16B4C" w:rsidRPr="0005342E" w:rsidRDefault="00F16B4C" w:rsidP="000947DB">
            <w:pPr>
              <w:jc w:val="center"/>
            </w:pPr>
            <w:r w:rsidRPr="0005342E">
              <w:t>90% of net earnings</w:t>
            </w:r>
          </w:p>
        </w:tc>
      </w:tr>
      <w:tr w:rsidR="00F16B4C" w:rsidRPr="0005342E" w:rsidTr="00075C3E">
        <w:trPr>
          <w:trHeight w:val="576"/>
        </w:trPr>
        <w:tc>
          <w:tcPr>
            <w:tcW w:w="1090" w:type="pct"/>
            <w:shd w:val="clear" w:color="auto" w:fill="E5EBF7"/>
            <w:vAlign w:val="center"/>
          </w:tcPr>
          <w:p w:rsidR="00F16B4C" w:rsidRPr="0005342E" w:rsidRDefault="00F16B4C" w:rsidP="000947DB">
            <w:pPr>
              <w:jc w:val="center"/>
              <w:rPr>
                <w:b/>
              </w:rPr>
            </w:pPr>
            <w:r w:rsidRPr="0005342E">
              <w:rPr>
                <w:b/>
              </w:rPr>
              <w:t>BC</w:t>
            </w:r>
          </w:p>
        </w:tc>
        <w:tc>
          <w:tcPr>
            <w:tcW w:w="1329" w:type="pct"/>
            <w:shd w:val="clear" w:color="auto" w:fill="E5EBF7"/>
            <w:vAlign w:val="center"/>
          </w:tcPr>
          <w:p w:rsidR="00F16B4C" w:rsidRPr="0048693E" w:rsidRDefault="00F16B4C" w:rsidP="000947DB">
            <w:pPr>
              <w:jc w:val="center"/>
            </w:pPr>
            <w:r w:rsidRPr="0048693E">
              <w:t>$8</w:t>
            </w:r>
            <w:r w:rsidR="00712B40" w:rsidRPr="0048693E">
              <w:t>2,700</w:t>
            </w:r>
          </w:p>
        </w:tc>
        <w:tc>
          <w:tcPr>
            <w:tcW w:w="2580" w:type="pct"/>
            <w:shd w:val="clear" w:color="auto" w:fill="E5EBF7"/>
            <w:vAlign w:val="center"/>
          </w:tcPr>
          <w:p w:rsidR="00F16B4C" w:rsidRPr="0005342E" w:rsidRDefault="00F16B4C" w:rsidP="000947DB">
            <w:pPr>
              <w:jc w:val="center"/>
            </w:pPr>
            <w:r w:rsidRPr="0005342E">
              <w:t>90% of net earnings</w:t>
            </w:r>
          </w:p>
        </w:tc>
      </w:tr>
      <w:tr w:rsidR="00F16B4C" w:rsidRPr="0005342E" w:rsidTr="00075C3E">
        <w:trPr>
          <w:trHeight w:val="576"/>
        </w:trPr>
        <w:tc>
          <w:tcPr>
            <w:tcW w:w="1090" w:type="pct"/>
            <w:vAlign w:val="center"/>
          </w:tcPr>
          <w:p w:rsidR="00F16B4C" w:rsidRPr="0005342E" w:rsidRDefault="00F16B4C" w:rsidP="000947DB">
            <w:pPr>
              <w:jc w:val="center"/>
              <w:rPr>
                <w:b/>
              </w:rPr>
            </w:pPr>
            <w:r w:rsidRPr="0005342E">
              <w:rPr>
                <w:b/>
              </w:rPr>
              <w:t>MB</w:t>
            </w:r>
          </w:p>
        </w:tc>
        <w:tc>
          <w:tcPr>
            <w:tcW w:w="1329" w:type="pct"/>
            <w:vAlign w:val="center"/>
          </w:tcPr>
          <w:p w:rsidR="00F16B4C" w:rsidRPr="0048693E" w:rsidRDefault="00F16B4C" w:rsidP="000947DB">
            <w:pPr>
              <w:jc w:val="center"/>
            </w:pPr>
            <w:r w:rsidRPr="0048693E">
              <w:t>$127,000</w:t>
            </w:r>
          </w:p>
        </w:tc>
        <w:tc>
          <w:tcPr>
            <w:tcW w:w="2580" w:type="pct"/>
            <w:vAlign w:val="center"/>
          </w:tcPr>
          <w:p w:rsidR="00F16B4C" w:rsidRPr="0005342E" w:rsidRDefault="00F16B4C" w:rsidP="000947DB">
            <w:pPr>
              <w:jc w:val="center"/>
            </w:pPr>
            <w:r w:rsidRPr="0005342E">
              <w:t>90% of net earnings</w:t>
            </w:r>
          </w:p>
        </w:tc>
      </w:tr>
      <w:tr w:rsidR="00F16B4C" w:rsidRPr="0005342E" w:rsidTr="00075C3E">
        <w:trPr>
          <w:trHeight w:val="576"/>
        </w:trPr>
        <w:tc>
          <w:tcPr>
            <w:tcW w:w="1090" w:type="pct"/>
            <w:shd w:val="clear" w:color="auto" w:fill="E5EBF7"/>
            <w:vAlign w:val="center"/>
          </w:tcPr>
          <w:p w:rsidR="00F16B4C" w:rsidRPr="0005342E" w:rsidRDefault="00F16B4C" w:rsidP="000947DB">
            <w:pPr>
              <w:jc w:val="center"/>
              <w:rPr>
                <w:b/>
              </w:rPr>
            </w:pPr>
            <w:r w:rsidRPr="0005342E">
              <w:rPr>
                <w:b/>
              </w:rPr>
              <w:t>NB</w:t>
            </w:r>
          </w:p>
        </w:tc>
        <w:tc>
          <w:tcPr>
            <w:tcW w:w="1329" w:type="pct"/>
            <w:shd w:val="clear" w:color="auto" w:fill="E5EBF7"/>
            <w:vAlign w:val="center"/>
          </w:tcPr>
          <w:p w:rsidR="00F16B4C" w:rsidRPr="0048693E" w:rsidRDefault="00F16B4C" w:rsidP="000947DB">
            <w:pPr>
              <w:jc w:val="center"/>
            </w:pPr>
            <w:r w:rsidRPr="0048693E">
              <w:t>$6</w:t>
            </w:r>
            <w:r w:rsidR="00AA17BD" w:rsidRPr="0048693E">
              <w:t>3</w:t>
            </w:r>
            <w:r w:rsidRPr="0048693E">
              <w:t>,</w:t>
            </w:r>
            <w:r w:rsidR="00AA17BD" w:rsidRPr="0048693E">
              <w:t>6</w:t>
            </w:r>
            <w:r w:rsidRPr="0048693E">
              <w:t>00</w:t>
            </w:r>
          </w:p>
        </w:tc>
        <w:tc>
          <w:tcPr>
            <w:tcW w:w="2580" w:type="pct"/>
            <w:shd w:val="clear" w:color="auto" w:fill="E5EBF7"/>
            <w:vAlign w:val="center"/>
          </w:tcPr>
          <w:p w:rsidR="00F16B4C" w:rsidRPr="0005342E" w:rsidRDefault="00F16B4C" w:rsidP="000947DB">
            <w:pPr>
              <w:jc w:val="center"/>
            </w:pPr>
            <w:r w:rsidRPr="0005342E">
              <w:t>85% of net earnings</w:t>
            </w:r>
          </w:p>
        </w:tc>
      </w:tr>
      <w:tr w:rsidR="00F16B4C" w:rsidRPr="0005342E" w:rsidTr="00075C3E">
        <w:trPr>
          <w:trHeight w:val="576"/>
        </w:trPr>
        <w:tc>
          <w:tcPr>
            <w:tcW w:w="1090" w:type="pct"/>
            <w:vAlign w:val="center"/>
          </w:tcPr>
          <w:p w:rsidR="00F16B4C" w:rsidRPr="0005342E" w:rsidRDefault="00F16B4C" w:rsidP="000947DB">
            <w:pPr>
              <w:jc w:val="center"/>
              <w:rPr>
                <w:b/>
              </w:rPr>
            </w:pPr>
            <w:r w:rsidRPr="0005342E">
              <w:rPr>
                <w:b/>
              </w:rPr>
              <w:t>NL</w:t>
            </w:r>
          </w:p>
        </w:tc>
        <w:tc>
          <w:tcPr>
            <w:tcW w:w="1329" w:type="pct"/>
            <w:vAlign w:val="center"/>
          </w:tcPr>
          <w:p w:rsidR="00F16B4C" w:rsidRPr="0048693E" w:rsidRDefault="00F16B4C" w:rsidP="000947DB">
            <w:pPr>
              <w:jc w:val="center"/>
            </w:pPr>
            <w:r w:rsidRPr="0048693E">
              <w:t>$6</w:t>
            </w:r>
            <w:r w:rsidR="00771711" w:rsidRPr="0048693E">
              <w:t>4</w:t>
            </w:r>
            <w:r w:rsidRPr="0048693E">
              <w:t>,</w:t>
            </w:r>
            <w:r w:rsidR="00771711" w:rsidRPr="0048693E">
              <w:t>375</w:t>
            </w:r>
          </w:p>
        </w:tc>
        <w:tc>
          <w:tcPr>
            <w:tcW w:w="2580" w:type="pct"/>
            <w:vAlign w:val="center"/>
          </w:tcPr>
          <w:p w:rsidR="00F16B4C" w:rsidRPr="0005342E" w:rsidRDefault="00F16B4C" w:rsidP="000947DB">
            <w:pPr>
              <w:jc w:val="center"/>
            </w:pPr>
            <w:r w:rsidRPr="0005342E">
              <w:t>80% of net earnings</w:t>
            </w:r>
          </w:p>
        </w:tc>
      </w:tr>
      <w:tr w:rsidR="00F16B4C" w:rsidRPr="0005342E" w:rsidTr="00075C3E">
        <w:trPr>
          <w:trHeight w:val="576"/>
        </w:trPr>
        <w:tc>
          <w:tcPr>
            <w:tcW w:w="1090" w:type="pct"/>
            <w:shd w:val="clear" w:color="auto" w:fill="E5EBF7"/>
            <w:vAlign w:val="center"/>
          </w:tcPr>
          <w:p w:rsidR="00F16B4C" w:rsidRPr="0005342E" w:rsidRDefault="00F16B4C" w:rsidP="000947DB">
            <w:pPr>
              <w:jc w:val="center"/>
              <w:rPr>
                <w:b/>
              </w:rPr>
            </w:pPr>
            <w:r w:rsidRPr="0005342E">
              <w:rPr>
                <w:b/>
              </w:rPr>
              <w:t>NS</w:t>
            </w:r>
          </w:p>
        </w:tc>
        <w:tc>
          <w:tcPr>
            <w:tcW w:w="1329" w:type="pct"/>
            <w:shd w:val="clear" w:color="auto" w:fill="E5EBF7"/>
            <w:vAlign w:val="center"/>
          </w:tcPr>
          <w:p w:rsidR="00F16B4C" w:rsidRPr="0048693E" w:rsidRDefault="00F16B4C" w:rsidP="000947DB">
            <w:pPr>
              <w:jc w:val="center"/>
            </w:pPr>
            <w:r w:rsidRPr="0048693E">
              <w:t>$59,</w:t>
            </w:r>
            <w:r w:rsidR="00771711" w:rsidRPr="0048693E">
              <w:t>8</w:t>
            </w:r>
            <w:r w:rsidRPr="0048693E">
              <w:t>00</w:t>
            </w:r>
          </w:p>
        </w:tc>
        <w:tc>
          <w:tcPr>
            <w:tcW w:w="2580" w:type="pct"/>
            <w:shd w:val="clear" w:color="auto" w:fill="E5EBF7"/>
            <w:vAlign w:val="center"/>
          </w:tcPr>
          <w:p w:rsidR="00F16B4C" w:rsidRPr="0005342E" w:rsidRDefault="00F16B4C" w:rsidP="000947DB">
            <w:pPr>
              <w:jc w:val="center"/>
            </w:pPr>
            <w:r w:rsidRPr="0005342E">
              <w:t>Temporary earnings replacement benefit (TERB) calculated at 75% of net earnings for the first 26 weeks, increasing to 85% of net earnings thereafter</w:t>
            </w:r>
          </w:p>
        </w:tc>
      </w:tr>
      <w:tr w:rsidR="00F16B4C" w:rsidRPr="0005342E" w:rsidTr="00075C3E">
        <w:trPr>
          <w:trHeight w:val="576"/>
        </w:trPr>
        <w:tc>
          <w:tcPr>
            <w:tcW w:w="1090" w:type="pct"/>
            <w:vAlign w:val="center"/>
          </w:tcPr>
          <w:p w:rsidR="00F16B4C" w:rsidRPr="0005342E" w:rsidRDefault="00F16B4C" w:rsidP="000947DB">
            <w:pPr>
              <w:jc w:val="center"/>
              <w:rPr>
                <w:b/>
              </w:rPr>
            </w:pPr>
            <w:r w:rsidRPr="0005342E">
              <w:rPr>
                <w:b/>
              </w:rPr>
              <w:t>NT and NU</w:t>
            </w:r>
          </w:p>
        </w:tc>
        <w:tc>
          <w:tcPr>
            <w:tcW w:w="1329" w:type="pct"/>
            <w:vAlign w:val="center"/>
          </w:tcPr>
          <w:p w:rsidR="00F16B4C" w:rsidRPr="0048693E" w:rsidRDefault="00F16B4C" w:rsidP="000947DB">
            <w:pPr>
              <w:jc w:val="center"/>
            </w:pPr>
            <w:r w:rsidRPr="0048693E">
              <w:t>$90,600</w:t>
            </w:r>
          </w:p>
        </w:tc>
        <w:tc>
          <w:tcPr>
            <w:tcW w:w="2580" w:type="pct"/>
            <w:vAlign w:val="center"/>
          </w:tcPr>
          <w:p w:rsidR="00F16B4C" w:rsidRPr="0005342E" w:rsidRDefault="00F16B4C" w:rsidP="000947DB">
            <w:pPr>
              <w:jc w:val="center"/>
            </w:pPr>
            <w:r w:rsidRPr="0005342E">
              <w:t>90% of net earnings</w:t>
            </w:r>
          </w:p>
        </w:tc>
      </w:tr>
      <w:tr w:rsidR="00F16B4C" w:rsidRPr="0005342E" w:rsidTr="00075C3E">
        <w:trPr>
          <w:trHeight w:val="576"/>
        </w:trPr>
        <w:tc>
          <w:tcPr>
            <w:tcW w:w="1090" w:type="pct"/>
            <w:shd w:val="clear" w:color="auto" w:fill="E5EBF7"/>
            <w:vAlign w:val="center"/>
          </w:tcPr>
          <w:p w:rsidR="00F16B4C" w:rsidRPr="0005342E" w:rsidRDefault="00F16B4C" w:rsidP="000947DB">
            <w:pPr>
              <w:jc w:val="center"/>
              <w:rPr>
                <w:b/>
              </w:rPr>
            </w:pPr>
            <w:r w:rsidRPr="0005342E">
              <w:rPr>
                <w:b/>
              </w:rPr>
              <w:t>ON</w:t>
            </w:r>
          </w:p>
        </w:tc>
        <w:tc>
          <w:tcPr>
            <w:tcW w:w="1329" w:type="pct"/>
            <w:shd w:val="clear" w:color="auto" w:fill="E5EBF7"/>
            <w:vAlign w:val="center"/>
          </w:tcPr>
          <w:p w:rsidR="00F16B4C" w:rsidRPr="0048693E" w:rsidRDefault="00F16B4C" w:rsidP="000947DB">
            <w:pPr>
              <w:jc w:val="center"/>
            </w:pPr>
            <w:r w:rsidRPr="0048693E">
              <w:t>$</w:t>
            </w:r>
            <w:r w:rsidR="00771711" w:rsidRPr="0048693E">
              <w:t>90</w:t>
            </w:r>
            <w:r w:rsidRPr="0048693E">
              <w:t>,</w:t>
            </w:r>
            <w:r w:rsidR="00771711" w:rsidRPr="0048693E">
              <w:t>3</w:t>
            </w:r>
            <w:r w:rsidRPr="0048693E">
              <w:t>00</w:t>
            </w:r>
          </w:p>
        </w:tc>
        <w:tc>
          <w:tcPr>
            <w:tcW w:w="2580" w:type="pct"/>
            <w:shd w:val="clear" w:color="auto" w:fill="E5EBF7"/>
            <w:vAlign w:val="center"/>
          </w:tcPr>
          <w:p w:rsidR="00F16B4C" w:rsidRPr="0005342E" w:rsidRDefault="00F16B4C" w:rsidP="000947DB">
            <w:pPr>
              <w:jc w:val="center"/>
            </w:pPr>
            <w:r w:rsidRPr="0005342E">
              <w:t>Loss of earnings benefit (LOE) calculated at 85% of net earnings</w:t>
            </w:r>
          </w:p>
        </w:tc>
      </w:tr>
      <w:tr w:rsidR="00F16B4C" w:rsidRPr="0005342E" w:rsidTr="00075C3E">
        <w:trPr>
          <w:trHeight w:val="576"/>
        </w:trPr>
        <w:tc>
          <w:tcPr>
            <w:tcW w:w="1090" w:type="pct"/>
            <w:vAlign w:val="center"/>
          </w:tcPr>
          <w:p w:rsidR="00F16B4C" w:rsidRPr="0005342E" w:rsidRDefault="00F16B4C" w:rsidP="000947DB">
            <w:pPr>
              <w:jc w:val="center"/>
              <w:rPr>
                <w:b/>
              </w:rPr>
            </w:pPr>
            <w:r w:rsidRPr="0005342E">
              <w:rPr>
                <w:b/>
              </w:rPr>
              <w:t>PE</w:t>
            </w:r>
          </w:p>
        </w:tc>
        <w:tc>
          <w:tcPr>
            <w:tcW w:w="1329" w:type="pct"/>
            <w:vAlign w:val="center"/>
          </w:tcPr>
          <w:p w:rsidR="00F16B4C" w:rsidRPr="0048693E" w:rsidRDefault="00F16B4C" w:rsidP="000947DB">
            <w:pPr>
              <w:jc w:val="center"/>
            </w:pPr>
            <w:r w:rsidRPr="0048693E">
              <w:t>$5</w:t>
            </w:r>
            <w:r w:rsidR="00771711" w:rsidRPr="0048693E">
              <w:t>3</w:t>
            </w:r>
            <w:r w:rsidRPr="0048693E">
              <w:t>,</w:t>
            </w:r>
            <w:r w:rsidR="00771711" w:rsidRPr="0048693E">
              <w:t>4</w:t>
            </w:r>
            <w:r w:rsidRPr="0048693E">
              <w:t>00</w:t>
            </w:r>
          </w:p>
        </w:tc>
        <w:tc>
          <w:tcPr>
            <w:tcW w:w="2580" w:type="pct"/>
            <w:vAlign w:val="center"/>
          </w:tcPr>
          <w:p w:rsidR="00F16B4C" w:rsidRPr="0005342E" w:rsidRDefault="00F16B4C" w:rsidP="000947DB">
            <w:pPr>
              <w:jc w:val="center"/>
            </w:pPr>
            <w:r w:rsidRPr="0005342E">
              <w:t>85% of net earnings</w:t>
            </w:r>
          </w:p>
        </w:tc>
      </w:tr>
      <w:tr w:rsidR="00F16B4C" w:rsidRPr="0005342E" w:rsidTr="00075C3E">
        <w:trPr>
          <w:trHeight w:val="576"/>
        </w:trPr>
        <w:tc>
          <w:tcPr>
            <w:tcW w:w="1090" w:type="pct"/>
            <w:shd w:val="clear" w:color="auto" w:fill="E5EBF7"/>
            <w:vAlign w:val="center"/>
          </w:tcPr>
          <w:p w:rsidR="00F16B4C" w:rsidRPr="0005342E" w:rsidRDefault="00F16B4C" w:rsidP="000947DB">
            <w:pPr>
              <w:jc w:val="center"/>
              <w:rPr>
                <w:b/>
              </w:rPr>
            </w:pPr>
            <w:r w:rsidRPr="0005342E">
              <w:rPr>
                <w:b/>
              </w:rPr>
              <w:t>QC</w:t>
            </w:r>
          </w:p>
        </w:tc>
        <w:tc>
          <w:tcPr>
            <w:tcW w:w="1329" w:type="pct"/>
            <w:shd w:val="clear" w:color="auto" w:fill="E5EBF7"/>
            <w:vAlign w:val="center"/>
          </w:tcPr>
          <w:p w:rsidR="00F16B4C" w:rsidRPr="0048693E" w:rsidRDefault="00F16B4C" w:rsidP="000947DB">
            <w:pPr>
              <w:jc w:val="center"/>
            </w:pPr>
            <w:r w:rsidRPr="0048693E">
              <w:t>$7</w:t>
            </w:r>
            <w:r w:rsidR="00771711" w:rsidRPr="0048693E">
              <w:t>4</w:t>
            </w:r>
            <w:r w:rsidRPr="0048693E">
              <w:t>,</w:t>
            </w:r>
            <w:r w:rsidR="00771711" w:rsidRPr="0048693E">
              <w:t>0</w:t>
            </w:r>
            <w:r w:rsidRPr="0048693E">
              <w:t>00</w:t>
            </w:r>
          </w:p>
        </w:tc>
        <w:tc>
          <w:tcPr>
            <w:tcW w:w="2580" w:type="pct"/>
            <w:shd w:val="clear" w:color="auto" w:fill="E5EBF7"/>
            <w:vAlign w:val="center"/>
          </w:tcPr>
          <w:p w:rsidR="00F16B4C" w:rsidRPr="0005342E" w:rsidRDefault="00F16B4C" w:rsidP="000947DB">
            <w:pPr>
              <w:jc w:val="center"/>
            </w:pPr>
            <w:r w:rsidRPr="0005342E">
              <w:t>90% of net earnings</w:t>
            </w:r>
          </w:p>
        </w:tc>
      </w:tr>
      <w:tr w:rsidR="00F16B4C" w:rsidRPr="0005342E" w:rsidTr="00075C3E">
        <w:trPr>
          <w:trHeight w:val="576"/>
        </w:trPr>
        <w:tc>
          <w:tcPr>
            <w:tcW w:w="1090" w:type="pct"/>
            <w:vAlign w:val="center"/>
          </w:tcPr>
          <w:p w:rsidR="00F16B4C" w:rsidRPr="0005342E" w:rsidRDefault="00F16B4C" w:rsidP="000947DB">
            <w:pPr>
              <w:jc w:val="center"/>
              <w:rPr>
                <w:b/>
              </w:rPr>
            </w:pPr>
            <w:r w:rsidRPr="0005342E">
              <w:rPr>
                <w:b/>
              </w:rPr>
              <w:t>SK</w:t>
            </w:r>
          </w:p>
        </w:tc>
        <w:tc>
          <w:tcPr>
            <w:tcW w:w="1329" w:type="pct"/>
            <w:vAlign w:val="center"/>
          </w:tcPr>
          <w:p w:rsidR="00F16B4C" w:rsidRPr="0048693E" w:rsidRDefault="00F16B4C" w:rsidP="000947DB">
            <w:pPr>
              <w:jc w:val="center"/>
            </w:pPr>
            <w:r w:rsidRPr="0048693E">
              <w:t>$</w:t>
            </w:r>
            <w:r w:rsidR="00771711" w:rsidRPr="0048693E">
              <w:t>82</w:t>
            </w:r>
            <w:r w:rsidRPr="0048693E">
              <w:t>,</w:t>
            </w:r>
            <w:r w:rsidR="00771711" w:rsidRPr="0048693E">
              <w:t>627</w:t>
            </w:r>
          </w:p>
        </w:tc>
        <w:tc>
          <w:tcPr>
            <w:tcW w:w="2580" w:type="pct"/>
            <w:vAlign w:val="center"/>
          </w:tcPr>
          <w:p w:rsidR="00F16B4C" w:rsidRPr="0005342E" w:rsidRDefault="00F16B4C" w:rsidP="000947DB">
            <w:pPr>
              <w:jc w:val="center"/>
            </w:pPr>
            <w:r w:rsidRPr="0005342E">
              <w:t>90% of net earnings</w:t>
            </w:r>
          </w:p>
        </w:tc>
      </w:tr>
      <w:tr w:rsidR="00F16B4C" w:rsidRPr="0005342E" w:rsidTr="00075C3E">
        <w:trPr>
          <w:trHeight w:val="576"/>
        </w:trPr>
        <w:tc>
          <w:tcPr>
            <w:tcW w:w="1090" w:type="pct"/>
            <w:shd w:val="clear" w:color="auto" w:fill="E5EBF7"/>
            <w:vAlign w:val="center"/>
          </w:tcPr>
          <w:p w:rsidR="00F16B4C" w:rsidRPr="0005342E" w:rsidRDefault="00F16B4C" w:rsidP="000947DB">
            <w:pPr>
              <w:jc w:val="center"/>
              <w:rPr>
                <w:b/>
              </w:rPr>
            </w:pPr>
            <w:r w:rsidRPr="0005342E">
              <w:rPr>
                <w:b/>
              </w:rPr>
              <w:t>YT</w:t>
            </w:r>
          </w:p>
        </w:tc>
        <w:tc>
          <w:tcPr>
            <w:tcW w:w="1329" w:type="pct"/>
            <w:shd w:val="clear" w:color="auto" w:fill="E5EBF7"/>
            <w:vAlign w:val="center"/>
          </w:tcPr>
          <w:p w:rsidR="00F16B4C" w:rsidRPr="0048693E" w:rsidRDefault="00F16B4C" w:rsidP="000947DB">
            <w:pPr>
              <w:jc w:val="center"/>
            </w:pPr>
            <w:r w:rsidRPr="0048693E">
              <w:t>$8</w:t>
            </w:r>
            <w:r w:rsidR="008E4663" w:rsidRPr="0048693E">
              <w:t>6</w:t>
            </w:r>
            <w:r w:rsidRPr="0048693E">
              <w:t>,</w:t>
            </w:r>
            <w:r w:rsidR="008E4663" w:rsidRPr="0048693E">
              <w:t>971</w:t>
            </w:r>
          </w:p>
        </w:tc>
        <w:tc>
          <w:tcPr>
            <w:tcW w:w="2580" w:type="pct"/>
            <w:shd w:val="clear" w:color="auto" w:fill="E5EBF7"/>
            <w:vAlign w:val="center"/>
          </w:tcPr>
          <w:p w:rsidR="00F16B4C" w:rsidRPr="0005342E" w:rsidRDefault="00F16B4C" w:rsidP="000947DB">
            <w:pPr>
              <w:jc w:val="center"/>
            </w:pPr>
            <w:r w:rsidRPr="0005342E">
              <w:t>75% of net earnings</w:t>
            </w:r>
          </w:p>
        </w:tc>
      </w:tr>
    </w:tbl>
    <w:p w:rsidR="0005342E" w:rsidRPr="0005342E" w:rsidRDefault="0005342E" w:rsidP="007C1D2A">
      <w:pPr>
        <w:spacing w:before="240" w:line="240" w:lineRule="auto"/>
      </w:pPr>
      <w:r>
        <w:t>Workers’ Compensation benefits are funded by employers. Premiums will vary by industrial sector in each province and by classification or ratings group. Employers pay premiums based on the insurable earnings of employees, up to the max</w:t>
      </w:r>
      <w:r w:rsidR="001675BA">
        <w:t>imum</w:t>
      </w:r>
      <w:r>
        <w:t xml:space="preserve"> assessable earnings amount (plus personal coverage, if any). The cost of coverage is usually per $100 of insurable earnings based on the average losses in each group, subject to a minimum amount. In some jurisdictions, premiums are adjusted using an experience rating factor, which compares an individual employer to the average of other employers in the same ratings group.</w:t>
      </w:r>
    </w:p>
    <w:p w:rsidR="00C31E9A" w:rsidRPr="00E81659" w:rsidRDefault="00C31E9A" w:rsidP="00E81659">
      <w:pPr>
        <w:spacing w:after="0"/>
        <w:rPr>
          <w:rStyle w:val="Hyperlink"/>
          <w:szCs w:val="22"/>
        </w:rPr>
      </w:pPr>
      <w:r w:rsidRPr="00E81659">
        <w:rPr>
          <w:rStyle w:val="Hyperlink"/>
          <w:szCs w:val="22"/>
        </w:rPr>
        <w:br w:type="page"/>
      </w:r>
    </w:p>
    <w:p w:rsidR="00295DE3" w:rsidRPr="00F0277E" w:rsidRDefault="00F16B4C" w:rsidP="00925231">
      <w:pPr>
        <w:pStyle w:val="Organization"/>
      </w:pPr>
      <w:r w:rsidRPr="00F0277E">
        <w:lastRenderedPageBreak/>
        <w:t>PREMIUMS FOR PROVINCIAL MEDICAL PLANS</w:t>
      </w:r>
    </w:p>
    <w:tbl>
      <w:tblPr>
        <w:tblStyle w:val="TableGrid"/>
        <w:tblW w:w="0" w:type="auto"/>
        <w:tblBorders>
          <w:insideH w:val="none" w:sz="0" w:space="0" w:color="auto"/>
          <w:insideV w:val="none" w:sz="0" w:space="0" w:color="auto"/>
        </w:tblBorders>
        <w:tblLook w:val="04A0"/>
      </w:tblPr>
      <w:tblGrid>
        <w:gridCol w:w="976"/>
        <w:gridCol w:w="3585"/>
        <w:gridCol w:w="6455"/>
      </w:tblGrid>
      <w:tr w:rsidR="00F16B4C" w:rsidRPr="00345515" w:rsidTr="00E33E6E">
        <w:trPr>
          <w:trHeight w:val="305"/>
        </w:trPr>
        <w:tc>
          <w:tcPr>
            <w:tcW w:w="0" w:type="auto"/>
            <w:shd w:val="clear" w:color="auto" w:fill="E5EBF7"/>
            <w:vAlign w:val="center"/>
          </w:tcPr>
          <w:p w:rsidR="00F16B4C" w:rsidRPr="00345515" w:rsidRDefault="00F16B4C" w:rsidP="000947DB">
            <w:pPr>
              <w:jc w:val="center"/>
              <w:rPr>
                <w:b/>
              </w:rPr>
            </w:pPr>
            <w:r w:rsidRPr="00345515">
              <w:rPr>
                <w:b/>
              </w:rPr>
              <w:t>Province</w:t>
            </w:r>
          </w:p>
        </w:tc>
        <w:tc>
          <w:tcPr>
            <w:tcW w:w="0" w:type="auto"/>
            <w:shd w:val="clear" w:color="auto" w:fill="E5EBF7"/>
            <w:vAlign w:val="center"/>
          </w:tcPr>
          <w:p w:rsidR="00F16B4C" w:rsidRPr="00345515" w:rsidRDefault="00F16B4C" w:rsidP="000947DB">
            <w:pPr>
              <w:jc w:val="center"/>
              <w:rPr>
                <w:b/>
                <w:szCs w:val="18"/>
              </w:rPr>
            </w:pPr>
            <w:r w:rsidRPr="00345515">
              <w:rPr>
                <w:b/>
                <w:szCs w:val="18"/>
              </w:rPr>
              <w:t>Payer</w:t>
            </w:r>
          </w:p>
        </w:tc>
        <w:tc>
          <w:tcPr>
            <w:tcW w:w="0" w:type="auto"/>
            <w:shd w:val="clear" w:color="auto" w:fill="E5EBF7"/>
            <w:vAlign w:val="center"/>
          </w:tcPr>
          <w:p w:rsidR="00F16B4C" w:rsidRPr="00345515" w:rsidRDefault="00F16B4C" w:rsidP="000947DB">
            <w:pPr>
              <w:jc w:val="center"/>
              <w:rPr>
                <w:b/>
                <w:sz w:val="18"/>
                <w:szCs w:val="18"/>
              </w:rPr>
            </w:pPr>
          </w:p>
        </w:tc>
      </w:tr>
      <w:tr w:rsidR="000947DB" w:rsidRPr="00345515" w:rsidTr="00E33E6E">
        <w:trPr>
          <w:trHeight w:val="243"/>
        </w:trPr>
        <w:tc>
          <w:tcPr>
            <w:tcW w:w="0" w:type="auto"/>
            <w:shd w:val="clear" w:color="auto" w:fill="auto"/>
          </w:tcPr>
          <w:p w:rsidR="000947DB" w:rsidRPr="00345515" w:rsidRDefault="000947DB" w:rsidP="00E33E6E">
            <w:pPr>
              <w:spacing w:before="60"/>
              <w:jc w:val="center"/>
              <w:rPr>
                <w:b/>
              </w:rPr>
            </w:pPr>
            <w:r>
              <w:rPr>
                <w:b/>
              </w:rPr>
              <w:t>AB</w:t>
            </w:r>
          </w:p>
        </w:tc>
        <w:tc>
          <w:tcPr>
            <w:tcW w:w="0" w:type="auto"/>
            <w:shd w:val="clear" w:color="auto" w:fill="auto"/>
            <w:vAlign w:val="center"/>
          </w:tcPr>
          <w:p w:rsidR="000947DB" w:rsidRPr="000947DB" w:rsidRDefault="000947DB" w:rsidP="00E33E6E">
            <w:pPr>
              <w:spacing w:before="60"/>
              <w:rPr>
                <w:b/>
                <w:sz w:val="18"/>
                <w:szCs w:val="18"/>
              </w:rPr>
            </w:pPr>
            <w:r w:rsidRPr="000947DB">
              <w:rPr>
                <w:b/>
                <w:sz w:val="18"/>
                <w:szCs w:val="18"/>
              </w:rPr>
              <w:t>Resident/Employee</w:t>
            </w:r>
          </w:p>
        </w:tc>
        <w:tc>
          <w:tcPr>
            <w:tcW w:w="0" w:type="auto"/>
            <w:shd w:val="clear" w:color="auto" w:fill="auto"/>
            <w:vAlign w:val="center"/>
          </w:tcPr>
          <w:p w:rsidR="000947DB" w:rsidRPr="000947DB" w:rsidRDefault="000947DB" w:rsidP="000947DB">
            <w:pPr>
              <w:jc w:val="center"/>
              <w:rPr>
                <w:sz w:val="18"/>
                <w:szCs w:val="18"/>
              </w:rPr>
            </w:pPr>
          </w:p>
        </w:tc>
      </w:tr>
      <w:tr w:rsidR="000947DB" w:rsidRPr="00345515" w:rsidTr="00E33E6E">
        <w:trPr>
          <w:trHeight w:val="351"/>
        </w:trPr>
        <w:tc>
          <w:tcPr>
            <w:tcW w:w="976" w:type="dxa"/>
            <w:shd w:val="clear" w:color="auto" w:fill="auto"/>
          </w:tcPr>
          <w:p w:rsidR="000947DB" w:rsidRPr="00345515" w:rsidRDefault="000947DB" w:rsidP="00E33E6E">
            <w:pPr>
              <w:jc w:val="center"/>
              <w:rPr>
                <w:b/>
              </w:rPr>
            </w:pPr>
          </w:p>
        </w:tc>
        <w:tc>
          <w:tcPr>
            <w:tcW w:w="9814" w:type="dxa"/>
            <w:gridSpan w:val="2"/>
            <w:shd w:val="clear" w:color="auto" w:fill="auto"/>
          </w:tcPr>
          <w:p w:rsidR="000947DB" w:rsidRPr="000947DB" w:rsidRDefault="000947DB" w:rsidP="00E33E6E">
            <w:pPr>
              <w:rPr>
                <w:sz w:val="18"/>
                <w:szCs w:val="18"/>
              </w:rPr>
            </w:pPr>
            <w:r w:rsidRPr="000947DB">
              <w:rPr>
                <w:sz w:val="18"/>
                <w:szCs w:val="18"/>
              </w:rPr>
              <w:t>Premiums eliminated for all residents effective January 1, 2009.</w:t>
            </w:r>
          </w:p>
        </w:tc>
      </w:tr>
      <w:tr w:rsidR="00075C3E" w:rsidRPr="00345515" w:rsidTr="00E33E6E">
        <w:trPr>
          <w:trHeight w:val="180"/>
        </w:trPr>
        <w:tc>
          <w:tcPr>
            <w:tcW w:w="0" w:type="auto"/>
            <w:vMerge w:val="restart"/>
            <w:shd w:val="clear" w:color="auto" w:fill="E5EBF7"/>
          </w:tcPr>
          <w:p w:rsidR="00075C3E" w:rsidRPr="00345515" w:rsidRDefault="00075C3E" w:rsidP="000947DB">
            <w:pPr>
              <w:jc w:val="center"/>
              <w:rPr>
                <w:b/>
              </w:rPr>
            </w:pPr>
            <w:r w:rsidRPr="00345515">
              <w:rPr>
                <w:b/>
              </w:rPr>
              <w:t>BC</w:t>
            </w:r>
          </w:p>
        </w:tc>
        <w:tc>
          <w:tcPr>
            <w:tcW w:w="0" w:type="auto"/>
            <w:shd w:val="clear" w:color="auto" w:fill="E5EBF7"/>
            <w:vAlign w:val="center"/>
          </w:tcPr>
          <w:p w:rsidR="00075C3E" w:rsidRPr="00C76B77" w:rsidRDefault="00075C3E" w:rsidP="000947DB">
            <w:pPr>
              <w:rPr>
                <w:b/>
                <w:sz w:val="18"/>
                <w:szCs w:val="18"/>
              </w:rPr>
            </w:pPr>
            <w:r w:rsidRPr="00C76B77">
              <w:rPr>
                <w:b/>
                <w:sz w:val="18"/>
                <w:szCs w:val="18"/>
              </w:rPr>
              <w:t>Resident/Employee</w:t>
            </w:r>
          </w:p>
        </w:tc>
        <w:tc>
          <w:tcPr>
            <w:tcW w:w="0" w:type="auto"/>
            <w:shd w:val="clear" w:color="auto" w:fill="E5EBF7"/>
            <w:vAlign w:val="center"/>
          </w:tcPr>
          <w:p w:rsidR="00075C3E" w:rsidRPr="00C76B77" w:rsidRDefault="00075C3E" w:rsidP="000947DB">
            <w:pPr>
              <w:jc w:val="center"/>
              <w:rPr>
                <w:sz w:val="18"/>
                <w:szCs w:val="18"/>
              </w:rPr>
            </w:pPr>
          </w:p>
        </w:tc>
      </w:tr>
      <w:tr w:rsidR="00075C3E" w:rsidRPr="00345515" w:rsidTr="00E33E6E">
        <w:tc>
          <w:tcPr>
            <w:tcW w:w="0" w:type="auto"/>
            <w:vMerge/>
            <w:shd w:val="clear" w:color="auto" w:fill="E5EBF7"/>
            <w:vAlign w:val="center"/>
          </w:tcPr>
          <w:p w:rsidR="00075C3E" w:rsidRPr="00345515" w:rsidRDefault="00075C3E" w:rsidP="000947DB">
            <w:pPr>
              <w:jc w:val="center"/>
              <w:rPr>
                <w:b/>
              </w:rPr>
            </w:pPr>
          </w:p>
        </w:tc>
        <w:tc>
          <w:tcPr>
            <w:tcW w:w="0" w:type="auto"/>
            <w:shd w:val="clear" w:color="auto" w:fill="E5EBF7"/>
            <w:vAlign w:val="center"/>
          </w:tcPr>
          <w:p w:rsidR="00075C3E" w:rsidRPr="00C76B77" w:rsidRDefault="00075C3E" w:rsidP="000947DB">
            <w:pPr>
              <w:rPr>
                <w:sz w:val="18"/>
                <w:szCs w:val="18"/>
              </w:rPr>
            </w:pPr>
            <w:r w:rsidRPr="00C76B77">
              <w:rPr>
                <w:sz w:val="18"/>
                <w:szCs w:val="18"/>
              </w:rPr>
              <w:t>One Adult:</w:t>
            </w:r>
          </w:p>
        </w:tc>
        <w:tc>
          <w:tcPr>
            <w:tcW w:w="0" w:type="auto"/>
            <w:shd w:val="clear" w:color="auto" w:fill="E5EBF7"/>
            <w:vAlign w:val="center"/>
          </w:tcPr>
          <w:p w:rsidR="00075C3E" w:rsidRPr="00C76B77" w:rsidRDefault="00075C3E" w:rsidP="000947DB">
            <w:pPr>
              <w:rPr>
                <w:sz w:val="18"/>
                <w:szCs w:val="18"/>
              </w:rPr>
            </w:pPr>
            <w:r w:rsidRPr="00C76B77">
              <w:rPr>
                <w:sz w:val="18"/>
                <w:szCs w:val="18"/>
              </w:rPr>
              <w:t>$37.50/month</w:t>
            </w:r>
          </w:p>
        </w:tc>
      </w:tr>
      <w:tr w:rsidR="00075C3E" w:rsidRPr="00345515" w:rsidTr="00E33E6E">
        <w:tc>
          <w:tcPr>
            <w:tcW w:w="0" w:type="auto"/>
            <w:vMerge/>
            <w:shd w:val="clear" w:color="auto" w:fill="E5EBF7"/>
            <w:vAlign w:val="center"/>
          </w:tcPr>
          <w:p w:rsidR="00075C3E" w:rsidRPr="00345515" w:rsidRDefault="00075C3E" w:rsidP="000947DB">
            <w:pPr>
              <w:jc w:val="center"/>
              <w:rPr>
                <w:b/>
              </w:rPr>
            </w:pPr>
          </w:p>
        </w:tc>
        <w:tc>
          <w:tcPr>
            <w:tcW w:w="0" w:type="auto"/>
            <w:shd w:val="clear" w:color="auto" w:fill="E5EBF7"/>
            <w:vAlign w:val="center"/>
          </w:tcPr>
          <w:p w:rsidR="00075C3E" w:rsidRPr="00C76B77" w:rsidRDefault="00075C3E" w:rsidP="000947DB">
            <w:pPr>
              <w:rPr>
                <w:sz w:val="18"/>
                <w:szCs w:val="18"/>
              </w:rPr>
            </w:pPr>
            <w:r w:rsidRPr="00C76B77">
              <w:rPr>
                <w:sz w:val="18"/>
                <w:szCs w:val="18"/>
              </w:rPr>
              <w:t>Two Adults in a Family:</w:t>
            </w:r>
          </w:p>
        </w:tc>
        <w:tc>
          <w:tcPr>
            <w:tcW w:w="0" w:type="auto"/>
            <w:shd w:val="clear" w:color="auto" w:fill="E5EBF7"/>
            <w:vAlign w:val="center"/>
          </w:tcPr>
          <w:p w:rsidR="00075C3E" w:rsidRPr="00C76B77" w:rsidRDefault="00075C3E" w:rsidP="000947DB">
            <w:pPr>
              <w:rPr>
                <w:sz w:val="18"/>
                <w:szCs w:val="18"/>
              </w:rPr>
            </w:pPr>
            <w:r w:rsidRPr="00C76B77">
              <w:rPr>
                <w:sz w:val="18"/>
                <w:szCs w:val="18"/>
              </w:rPr>
              <w:t>$75.00/month (there are no premiums for children under the age of 19)</w:t>
            </w:r>
          </w:p>
        </w:tc>
      </w:tr>
      <w:tr w:rsidR="00075C3E" w:rsidRPr="00345515" w:rsidTr="00E33E6E">
        <w:trPr>
          <w:trHeight w:hRule="exact" w:val="101"/>
        </w:trPr>
        <w:tc>
          <w:tcPr>
            <w:tcW w:w="0" w:type="auto"/>
            <w:vMerge/>
            <w:shd w:val="clear" w:color="auto" w:fill="E5EBF7"/>
            <w:vAlign w:val="center"/>
          </w:tcPr>
          <w:p w:rsidR="00075C3E" w:rsidRPr="00345515" w:rsidRDefault="00075C3E" w:rsidP="000947DB">
            <w:pPr>
              <w:jc w:val="center"/>
              <w:rPr>
                <w:b/>
              </w:rPr>
            </w:pPr>
          </w:p>
        </w:tc>
        <w:tc>
          <w:tcPr>
            <w:tcW w:w="0" w:type="auto"/>
            <w:shd w:val="clear" w:color="auto" w:fill="E5EBF7"/>
            <w:vAlign w:val="center"/>
          </w:tcPr>
          <w:p w:rsidR="00075C3E" w:rsidRPr="00C76B77" w:rsidRDefault="00075C3E" w:rsidP="000947DB">
            <w:pPr>
              <w:rPr>
                <w:sz w:val="18"/>
                <w:szCs w:val="18"/>
              </w:rPr>
            </w:pPr>
          </w:p>
        </w:tc>
        <w:tc>
          <w:tcPr>
            <w:tcW w:w="0" w:type="auto"/>
            <w:shd w:val="clear" w:color="auto" w:fill="E5EBF7"/>
            <w:vAlign w:val="center"/>
          </w:tcPr>
          <w:p w:rsidR="00075C3E" w:rsidRPr="00C76B77" w:rsidRDefault="00075C3E" w:rsidP="000947DB">
            <w:pPr>
              <w:rPr>
                <w:sz w:val="18"/>
                <w:szCs w:val="18"/>
              </w:rPr>
            </w:pPr>
          </w:p>
        </w:tc>
      </w:tr>
      <w:tr w:rsidR="00075C3E" w:rsidRPr="00345515" w:rsidTr="00E33E6E">
        <w:trPr>
          <w:trHeight w:val="243"/>
        </w:trPr>
        <w:tc>
          <w:tcPr>
            <w:tcW w:w="0" w:type="auto"/>
            <w:vMerge/>
            <w:shd w:val="clear" w:color="auto" w:fill="E5EBF7"/>
            <w:vAlign w:val="center"/>
          </w:tcPr>
          <w:p w:rsidR="00075C3E" w:rsidRPr="00345515" w:rsidRDefault="00075C3E" w:rsidP="000947DB">
            <w:pPr>
              <w:jc w:val="center"/>
              <w:rPr>
                <w:b/>
              </w:rPr>
            </w:pPr>
          </w:p>
        </w:tc>
        <w:tc>
          <w:tcPr>
            <w:tcW w:w="0" w:type="auto"/>
            <w:gridSpan w:val="2"/>
            <w:shd w:val="clear" w:color="auto" w:fill="E5EBF7"/>
            <w:vAlign w:val="center"/>
          </w:tcPr>
          <w:p w:rsidR="00075C3E" w:rsidRPr="00C76B77" w:rsidRDefault="00075C3E" w:rsidP="000947DB">
            <w:pPr>
              <w:rPr>
                <w:sz w:val="18"/>
                <w:szCs w:val="18"/>
              </w:rPr>
            </w:pPr>
            <w:r w:rsidRPr="00C76B77">
              <w:rPr>
                <w:sz w:val="18"/>
                <w:szCs w:val="18"/>
              </w:rPr>
              <w:t>Premium assistance may be available for low income individuals or couples/families earning less than $26,000/year.</w:t>
            </w:r>
          </w:p>
        </w:tc>
      </w:tr>
      <w:tr w:rsidR="00F16B4C" w:rsidRPr="00345515" w:rsidTr="00E33E6E">
        <w:trPr>
          <w:trHeight w:hRule="exact" w:val="130"/>
        </w:trPr>
        <w:tc>
          <w:tcPr>
            <w:tcW w:w="0" w:type="auto"/>
            <w:shd w:val="clear" w:color="auto" w:fill="auto"/>
            <w:vAlign w:val="center"/>
          </w:tcPr>
          <w:p w:rsidR="00F16B4C" w:rsidRPr="00345515" w:rsidRDefault="00F16B4C" w:rsidP="000947DB">
            <w:pPr>
              <w:jc w:val="center"/>
              <w:rPr>
                <w:b/>
              </w:rPr>
            </w:pPr>
          </w:p>
        </w:tc>
        <w:tc>
          <w:tcPr>
            <w:tcW w:w="0" w:type="auto"/>
            <w:gridSpan w:val="2"/>
            <w:shd w:val="clear" w:color="auto" w:fill="auto"/>
            <w:vAlign w:val="center"/>
          </w:tcPr>
          <w:p w:rsidR="00F16B4C" w:rsidRPr="0048693E" w:rsidRDefault="00F16B4C" w:rsidP="000947DB">
            <w:pPr>
              <w:rPr>
                <w:sz w:val="18"/>
                <w:szCs w:val="18"/>
                <w:highlight w:val="yellow"/>
              </w:rPr>
            </w:pPr>
          </w:p>
        </w:tc>
      </w:tr>
      <w:tr w:rsidR="00F16B4C" w:rsidRPr="00345515" w:rsidTr="00E33E6E">
        <w:tc>
          <w:tcPr>
            <w:tcW w:w="0" w:type="auto"/>
            <w:vMerge w:val="restart"/>
            <w:shd w:val="clear" w:color="auto" w:fill="auto"/>
          </w:tcPr>
          <w:p w:rsidR="00F16B4C" w:rsidRPr="00345515" w:rsidRDefault="00F16B4C" w:rsidP="000947DB">
            <w:pPr>
              <w:jc w:val="center"/>
              <w:rPr>
                <w:b/>
              </w:rPr>
            </w:pPr>
            <w:r w:rsidRPr="00345515">
              <w:rPr>
                <w:b/>
              </w:rPr>
              <w:t>MB</w:t>
            </w:r>
          </w:p>
        </w:tc>
        <w:tc>
          <w:tcPr>
            <w:tcW w:w="0" w:type="auto"/>
            <w:shd w:val="clear" w:color="auto" w:fill="auto"/>
            <w:vAlign w:val="center"/>
          </w:tcPr>
          <w:p w:rsidR="00F16B4C" w:rsidRPr="00C76B77" w:rsidRDefault="00F16B4C" w:rsidP="000947DB">
            <w:pPr>
              <w:rPr>
                <w:b/>
                <w:sz w:val="18"/>
                <w:szCs w:val="18"/>
              </w:rPr>
            </w:pPr>
            <w:r w:rsidRPr="00C76B77">
              <w:rPr>
                <w:b/>
                <w:sz w:val="18"/>
                <w:szCs w:val="18"/>
              </w:rPr>
              <w:t>Employer</w:t>
            </w:r>
          </w:p>
        </w:tc>
        <w:tc>
          <w:tcPr>
            <w:tcW w:w="0" w:type="auto"/>
            <w:shd w:val="clear" w:color="auto" w:fill="auto"/>
            <w:vAlign w:val="center"/>
          </w:tcPr>
          <w:p w:rsidR="00F16B4C" w:rsidRPr="00C76B77" w:rsidRDefault="00F16B4C" w:rsidP="000947DB">
            <w:pPr>
              <w:rPr>
                <w:sz w:val="18"/>
                <w:szCs w:val="18"/>
              </w:rPr>
            </w:pPr>
          </w:p>
        </w:tc>
      </w:tr>
      <w:tr w:rsidR="00F16B4C" w:rsidRPr="00345515" w:rsidTr="00E33E6E">
        <w:tc>
          <w:tcPr>
            <w:tcW w:w="0" w:type="auto"/>
            <w:vMerge/>
            <w:shd w:val="clear" w:color="auto" w:fill="auto"/>
            <w:vAlign w:val="center"/>
          </w:tcPr>
          <w:p w:rsidR="00F16B4C" w:rsidRPr="00345515" w:rsidRDefault="00F16B4C" w:rsidP="000947DB">
            <w:pPr>
              <w:jc w:val="center"/>
              <w:rPr>
                <w:b/>
              </w:rPr>
            </w:pPr>
          </w:p>
        </w:tc>
        <w:tc>
          <w:tcPr>
            <w:tcW w:w="0" w:type="auto"/>
            <w:gridSpan w:val="2"/>
            <w:shd w:val="clear" w:color="auto" w:fill="auto"/>
            <w:vAlign w:val="center"/>
          </w:tcPr>
          <w:p w:rsidR="00F16B4C" w:rsidRPr="00C76B77" w:rsidRDefault="00F16B4C" w:rsidP="000947DB">
            <w:pPr>
              <w:rPr>
                <w:sz w:val="18"/>
                <w:szCs w:val="18"/>
              </w:rPr>
            </w:pPr>
            <w:r w:rsidRPr="00C76B77">
              <w:rPr>
                <w:sz w:val="18"/>
                <w:szCs w:val="18"/>
              </w:rPr>
              <w:t>The Manitoba Health Premium is payroll-based and administered through the provincial tax system.</w:t>
            </w:r>
          </w:p>
        </w:tc>
      </w:tr>
      <w:tr w:rsidR="00F16B4C" w:rsidRPr="00345515" w:rsidTr="00E33E6E">
        <w:trPr>
          <w:trHeight w:hRule="exact" w:val="101"/>
        </w:trPr>
        <w:tc>
          <w:tcPr>
            <w:tcW w:w="0" w:type="auto"/>
            <w:vMerge/>
            <w:shd w:val="clear" w:color="auto" w:fill="auto"/>
            <w:vAlign w:val="center"/>
          </w:tcPr>
          <w:p w:rsidR="00F16B4C" w:rsidRPr="00345515" w:rsidRDefault="00F16B4C" w:rsidP="000947DB">
            <w:pPr>
              <w:jc w:val="center"/>
              <w:rPr>
                <w:b/>
              </w:rPr>
            </w:pPr>
          </w:p>
        </w:tc>
        <w:tc>
          <w:tcPr>
            <w:tcW w:w="0" w:type="auto"/>
            <w:gridSpan w:val="2"/>
            <w:shd w:val="clear" w:color="auto" w:fill="auto"/>
            <w:vAlign w:val="center"/>
          </w:tcPr>
          <w:p w:rsidR="00F16B4C" w:rsidRPr="00C76B77" w:rsidRDefault="00F16B4C" w:rsidP="000947DB">
            <w:pPr>
              <w:rPr>
                <w:sz w:val="18"/>
                <w:szCs w:val="18"/>
              </w:rPr>
            </w:pPr>
          </w:p>
        </w:tc>
      </w:tr>
      <w:tr w:rsidR="00F16B4C" w:rsidRPr="00345515" w:rsidTr="00E33E6E">
        <w:tc>
          <w:tcPr>
            <w:tcW w:w="0" w:type="auto"/>
            <w:vMerge/>
            <w:shd w:val="clear" w:color="auto" w:fill="auto"/>
            <w:vAlign w:val="center"/>
          </w:tcPr>
          <w:p w:rsidR="00F16B4C" w:rsidRPr="00345515" w:rsidRDefault="00F16B4C" w:rsidP="000947DB">
            <w:pPr>
              <w:jc w:val="center"/>
              <w:rPr>
                <w:b/>
              </w:rPr>
            </w:pPr>
          </w:p>
        </w:tc>
        <w:tc>
          <w:tcPr>
            <w:tcW w:w="0" w:type="auto"/>
            <w:shd w:val="clear" w:color="auto" w:fill="auto"/>
            <w:vAlign w:val="center"/>
          </w:tcPr>
          <w:p w:rsidR="00F16B4C" w:rsidRPr="00C76B77" w:rsidRDefault="00F16B4C" w:rsidP="000947DB">
            <w:pPr>
              <w:rPr>
                <w:b/>
                <w:sz w:val="18"/>
                <w:szCs w:val="18"/>
              </w:rPr>
            </w:pPr>
            <w:r w:rsidRPr="00C76B77">
              <w:rPr>
                <w:b/>
                <w:sz w:val="18"/>
                <w:szCs w:val="18"/>
              </w:rPr>
              <w:t>Total Yearly Payroll Amount</w:t>
            </w:r>
          </w:p>
        </w:tc>
        <w:tc>
          <w:tcPr>
            <w:tcW w:w="0" w:type="auto"/>
            <w:shd w:val="clear" w:color="auto" w:fill="auto"/>
            <w:vAlign w:val="center"/>
          </w:tcPr>
          <w:p w:rsidR="00F16B4C" w:rsidRPr="00C76B77" w:rsidRDefault="00F16B4C" w:rsidP="000947DB">
            <w:pPr>
              <w:rPr>
                <w:b/>
                <w:sz w:val="18"/>
                <w:szCs w:val="18"/>
              </w:rPr>
            </w:pPr>
            <w:r w:rsidRPr="00C76B77">
              <w:rPr>
                <w:b/>
                <w:sz w:val="18"/>
                <w:szCs w:val="18"/>
              </w:rPr>
              <w:t>Employer Premium</w:t>
            </w:r>
          </w:p>
        </w:tc>
      </w:tr>
      <w:tr w:rsidR="00F16B4C" w:rsidRPr="00345515" w:rsidTr="00E33E6E">
        <w:tc>
          <w:tcPr>
            <w:tcW w:w="0" w:type="auto"/>
            <w:vMerge/>
            <w:shd w:val="clear" w:color="auto" w:fill="auto"/>
            <w:vAlign w:val="center"/>
          </w:tcPr>
          <w:p w:rsidR="00F16B4C" w:rsidRPr="00345515" w:rsidRDefault="00F16B4C" w:rsidP="000947DB">
            <w:pPr>
              <w:jc w:val="center"/>
              <w:rPr>
                <w:b/>
              </w:rPr>
            </w:pPr>
          </w:p>
        </w:tc>
        <w:tc>
          <w:tcPr>
            <w:tcW w:w="0" w:type="auto"/>
            <w:shd w:val="clear" w:color="auto" w:fill="auto"/>
            <w:vAlign w:val="center"/>
          </w:tcPr>
          <w:p w:rsidR="00F16B4C" w:rsidRPr="00C76B77" w:rsidRDefault="00F16B4C" w:rsidP="000947DB">
            <w:pPr>
              <w:rPr>
                <w:sz w:val="18"/>
                <w:szCs w:val="18"/>
              </w:rPr>
            </w:pPr>
            <w:r w:rsidRPr="00C76B77">
              <w:rPr>
                <w:sz w:val="18"/>
                <w:szCs w:val="18"/>
              </w:rPr>
              <w:t>$0 - $1,250,000</w:t>
            </w:r>
          </w:p>
        </w:tc>
        <w:tc>
          <w:tcPr>
            <w:tcW w:w="0" w:type="auto"/>
            <w:shd w:val="clear" w:color="auto" w:fill="auto"/>
            <w:vAlign w:val="center"/>
          </w:tcPr>
          <w:p w:rsidR="00F16B4C" w:rsidRPr="00C76B77" w:rsidRDefault="00F16B4C" w:rsidP="000947DB">
            <w:pPr>
              <w:rPr>
                <w:sz w:val="18"/>
                <w:szCs w:val="18"/>
              </w:rPr>
            </w:pPr>
            <w:r w:rsidRPr="00C76B77">
              <w:rPr>
                <w:sz w:val="18"/>
                <w:szCs w:val="18"/>
              </w:rPr>
              <w:t>0%</w:t>
            </w:r>
          </w:p>
        </w:tc>
      </w:tr>
      <w:tr w:rsidR="00F16B4C" w:rsidRPr="00345515" w:rsidTr="00E33E6E">
        <w:tc>
          <w:tcPr>
            <w:tcW w:w="0" w:type="auto"/>
            <w:vMerge/>
            <w:shd w:val="clear" w:color="auto" w:fill="auto"/>
            <w:vAlign w:val="center"/>
          </w:tcPr>
          <w:p w:rsidR="00F16B4C" w:rsidRPr="00345515" w:rsidRDefault="00F16B4C" w:rsidP="000947DB">
            <w:pPr>
              <w:jc w:val="center"/>
              <w:rPr>
                <w:b/>
              </w:rPr>
            </w:pPr>
          </w:p>
        </w:tc>
        <w:tc>
          <w:tcPr>
            <w:tcW w:w="0" w:type="auto"/>
            <w:shd w:val="clear" w:color="auto" w:fill="auto"/>
            <w:vAlign w:val="center"/>
          </w:tcPr>
          <w:p w:rsidR="00F16B4C" w:rsidRPr="00C76B77" w:rsidRDefault="00F16B4C" w:rsidP="000947DB">
            <w:pPr>
              <w:rPr>
                <w:sz w:val="18"/>
                <w:szCs w:val="18"/>
              </w:rPr>
            </w:pPr>
            <w:r w:rsidRPr="00C76B77">
              <w:rPr>
                <w:sz w:val="18"/>
                <w:szCs w:val="18"/>
              </w:rPr>
              <w:t>$1,250,000 - $2,500,000</w:t>
            </w:r>
          </w:p>
        </w:tc>
        <w:tc>
          <w:tcPr>
            <w:tcW w:w="0" w:type="auto"/>
            <w:shd w:val="clear" w:color="auto" w:fill="auto"/>
            <w:vAlign w:val="center"/>
          </w:tcPr>
          <w:p w:rsidR="00F16B4C" w:rsidRPr="00C76B77" w:rsidRDefault="00F16B4C" w:rsidP="000947DB">
            <w:pPr>
              <w:rPr>
                <w:sz w:val="18"/>
                <w:szCs w:val="18"/>
              </w:rPr>
            </w:pPr>
            <w:r w:rsidRPr="00C76B77">
              <w:rPr>
                <w:sz w:val="18"/>
                <w:szCs w:val="18"/>
              </w:rPr>
              <w:t>4.3% on amounts in excess of $1,250,000</w:t>
            </w:r>
          </w:p>
        </w:tc>
      </w:tr>
      <w:tr w:rsidR="00F16B4C" w:rsidRPr="00345515" w:rsidTr="00E33E6E">
        <w:tc>
          <w:tcPr>
            <w:tcW w:w="0" w:type="auto"/>
            <w:vMerge/>
            <w:shd w:val="clear" w:color="auto" w:fill="auto"/>
            <w:vAlign w:val="center"/>
          </w:tcPr>
          <w:p w:rsidR="00F16B4C" w:rsidRPr="00345515" w:rsidRDefault="00F16B4C" w:rsidP="000947DB">
            <w:pPr>
              <w:jc w:val="center"/>
              <w:rPr>
                <w:b/>
              </w:rPr>
            </w:pPr>
          </w:p>
        </w:tc>
        <w:tc>
          <w:tcPr>
            <w:tcW w:w="0" w:type="auto"/>
            <w:shd w:val="clear" w:color="auto" w:fill="auto"/>
            <w:vAlign w:val="center"/>
          </w:tcPr>
          <w:p w:rsidR="00F16B4C" w:rsidRPr="00C76B77" w:rsidRDefault="00F16B4C" w:rsidP="000947DB">
            <w:pPr>
              <w:rPr>
                <w:sz w:val="18"/>
                <w:szCs w:val="18"/>
              </w:rPr>
            </w:pPr>
            <w:r w:rsidRPr="00C76B77">
              <w:rPr>
                <w:sz w:val="18"/>
                <w:szCs w:val="18"/>
              </w:rPr>
              <w:t>$2,500,000 +</w:t>
            </w:r>
          </w:p>
        </w:tc>
        <w:tc>
          <w:tcPr>
            <w:tcW w:w="0" w:type="auto"/>
            <w:shd w:val="clear" w:color="auto" w:fill="auto"/>
            <w:vAlign w:val="center"/>
          </w:tcPr>
          <w:p w:rsidR="00F16B4C" w:rsidRPr="00C76B77" w:rsidRDefault="00F16B4C" w:rsidP="000947DB">
            <w:pPr>
              <w:rPr>
                <w:sz w:val="18"/>
                <w:szCs w:val="18"/>
              </w:rPr>
            </w:pPr>
            <w:r w:rsidRPr="00C76B77">
              <w:rPr>
                <w:sz w:val="18"/>
                <w:szCs w:val="18"/>
              </w:rPr>
              <w:t>2.15% of total payroll</w:t>
            </w:r>
          </w:p>
        </w:tc>
      </w:tr>
      <w:tr w:rsidR="00F16B4C" w:rsidRPr="00345515" w:rsidTr="00E33E6E">
        <w:trPr>
          <w:trHeight w:hRule="exact" w:val="171"/>
        </w:trPr>
        <w:tc>
          <w:tcPr>
            <w:tcW w:w="0" w:type="auto"/>
            <w:shd w:val="clear" w:color="auto" w:fill="auto"/>
            <w:vAlign w:val="center"/>
          </w:tcPr>
          <w:p w:rsidR="00F16B4C" w:rsidRPr="00345515" w:rsidRDefault="00F16B4C" w:rsidP="000947DB">
            <w:pPr>
              <w:jc w:val="center"/>
              <w:rPr>
                <w:b/>
              </w:rPr>
            </w:pPr>
          </w:p>
        </w:tc>
        <w:tc>
          <w:tcPr>
            <w:tcW w:w="0" w:type="auto"/>
            <w:shd w:val="clear" w:color="auto" w:fill="auto"/>
            <w:vAlign w:val="center"/>
          </w:tcPr>
          <w:p w:rsidR="00F16B4C" w:rsidRPr="00C76B77" w:rsidRDefault="00F16B4C" w:rsidP="000947DB">
            <w:pPr>
              <w:rPr>
                <w:sz w:val="18"/>
                <w:szCs w:val="18"/>
              </w:rPr>
            </w:pPr>
          </w:p>
        </w:tc>
        <w:tc>
          <w:tcPr>
            <w:tcW w:w="0" w:type="auto"/>
            <w:shd w:val="clear" w:color="auto" w:fill="auto"/>
            <w:vAlign w:val="center"/>
          </w:tcPr>
          <w:p w:rsidR="00F16B4C" w:rsidRPr="00C76B77" w:rsidRDefault="00F16B4C" w:rsidP="000947DB">
            <w:pPr>
              <w:rPr>
                <w:sz w:val="18"/>
                <w:szCs w:val="18"/>
              </w:rPr>
            </w:pPr>
          </w:p>
        </w:tc>
      </w:tr>
      <w:tr w:rsidR="00075C3E" w:rsidRPr="00345515" w:rsidTr="00E33E6E">
        <w:trPr>
          <w:trHeight w:val="261"/>
        </w:trPr>
        <w:tc>
          <w:tcPr>
            <w:tcW w:w="0" w:type="auto"/>
            <w:vMerge w:val="restart"/>
            <w:shd w:val="clear" w:color="auto" w:fill="E5EBF7"/>
          </w:tcPr>
          <w:p w:rsidR="00075C3E" w:rsidRPr="00345515" w:rsidRDefault="00075C3E" w:rsidP="000947DB">
            <w:pPr>
              <w:jc w:val="center"/>
              <w:rPr>
                <w:b/>
              </w:rPr>
            </w:pPr>
            <w:r w:rsidRPr="00345515">
              <w:rPr>
                <w:b/>
              </w:rPr>
              <w:t>NB</w:t>
            </w:r>
          </w:p>
        </w:tc>
        <w:tc>
          <w:tcPr>
            <w:tcW w:w="0" w:type="auto"/>
            <w:shd w:val="clear" w:color="auto" w:fill="E5EBF7"/>
            <w:vAlign w:val="center"/>
          </w:tcPr>
          <w:p w:rsidR="00075C3E" w:rsidRPr="00C76B77" w:rsidRDefault="00075C3E" w:rsidP="000947DB">
            <w:pPr>
              <w:rPr>
                <w:sz w:val="18"/>
                <w:szCs w:val="18"/>
              </w:rPr>
            </w:pPr>
            <w:r w:rsidRPr="00C76B77">
              <w:rPr>
                <w:b/>
                <w:sz w:val="18"/>
                <w:szCs w:val="18"/>
              </w:rPr>
              <w:t>Resident/Employee</w:t>
            </w:r>
          </w:p>
        </w:tc>
        <w:tc>
          <w:tcPr>
            <w:tcW w:w="0" w:type="auto"/>
            <w:shd w:val="clear" w:color="auto" w:fill="E5EBF7"/>
            <w:vAlign w:val="center"/>
          </w:tcPr>
          <w:p w:rsidR="00075C3E" w:rsidRPr="00C76B77" w:rsidRDefault="00075C3E" w:rsidP="000947DB">
            <w:pPr>
              <w:rPr>
                <w:sz w:val="18"/>
                <w:szCs w:val="18"/>
              </w:rPr>
            </w:pPr>
          </w:p>
        </w:tc>
      </w:tr>
      <w:tr w:rsidR="00075C3E" w:rsidRPr="00345515" w:rsidTr="00E33E6E">
        <w:trPr>
          <w:trHeight w:val="378"/>
        </w:trPr>
        <w:tc>
          <w:tcPr>
            <w:tcW w:w="0" w:type="auto"/>
            <w:vMerge/>
            <w:shd w:val="clear" w:color="auto" w:fill="E5EBF7"/>
            <w:vAlign w:val="center"/>
          </w:tcPr>
          <w:p w:rsidR="00075C3E" w:rsidRPr="00345515" w:rsidRDefault="00075C3E" w:rsidP="000947DB">
            <w:pPr>
              <w:jc w:val="center"/>
              <w:rPr>
                <w:b/>
              </w:rPr>
            </w:pPr>
          </w:p>
        </w:tc>
        <w:tc>
          <w:tcPr>
            <w:tcW w:w="0" w:type="auto"/>
            <w:gridSpan w:val="2"/>
            <w:shd w:val="clear" w:color="auto" w:fill="E5EBF7"/>
            <w:vAlign w:val="center"/>
          </w:tcPr>
          <w:p w:rsidR="00075C3E" w:rsidRPr="00C76B77" w:rsidRDefault="00075C3E" w:rsidP="000947DB">
            <w:pPr>
              <w:rPr>
                <w:sz w:val="18"/>
                <w:szCs w:val="18"/>
              </w:rPr>
            </w:pPr>
            <w:r w:rsidRPr="00C76B77">
              <w:rPr>
                <w:sz w:val="18"/>
                <w:szCs w:val="18"/>
              </w:rPr>
              <w:t>Monthly premiums per adult (ranging from $16.67-$166.67) and 30% copayment up to a max</w:t>
            </w:r>
            <w:r>
              <w:rPr>
                <w:sz w:val="18"/>
                <w:szCs w:val="18"/>
              </w:rPr>
              <w:t>imum</w:t>
            </w:r>
            <w:r w:rsidRPr="00C76B77">
              <w:rPr>
                <w:sz w:val="18"/>
                <w:szCs w:val="18"/>
              </w:rPr>
              <w:t xml:space="preserve"> amount per prescription (ranging from $5-$</w:t>
            </w:r>
            <w:r>
              <w:rPr>
                <w:sz w:val="18"/>
                <w:szCs w:val="18"/>
              </w:rPr>
              <w:t>a</w:t>
            </w:r>
            <w:r w:rsidRPr="00C76B77">
              <w:rPr>
                <w:sz w:val="18"/>
                <w:szCs w:val="18"/>
              </w:rPr>
              <w:t>). Amounts are calculated based on annual family income. Children age 18 and younger do not pay premiums but a parent must be enrolled in the plan.</w:t>
            </w:r>
          </w:p>
        </w:tc>
      </w:tr>
      <w:tr w:rsidR="00F16B4C" w:rsidRPr="00345515" w:rsidTr="00E33E6E">
        <w:trPr>
          <w:trHeight w:hRule="exact" w:val="130"/>
        </w:trPr>
        <w:tc>
          <w:tcPr>
            <w:tcW w:w="0" w:type="auto"/>
            <w:shd w:val="clear" w:color="auto" w:fill="auto"/>
            <w:vAlign w:val="center"/>
          </w:tcPr>
          <w:p w:rsidR="00F16B4C" w:rsidRPr="00345515" w:rsidRDefault="00F16B4C" w:rsidP="000947DB">
            <w:pPr>
              <w:jc w:val="center"/>
              <w:rPr>
                <w:b/>
              </w:rPr>
            </w:pPr>
          </w:p>
        </w:tc>
        <w:tc>
          <w:tcPr>
            <w:tcW w:w="0" w:type="auto"/>
            <w:gridSpan w:val="2"/>
            <w:shd w:val="clear" w:color="auto" w:fill="auto"/>
            <w:vAlign w:val="center"/>
          </w:tcPr>
          <w:p w:rsidR="00F16B4C" w:rsidRPr="00C76B77" w:rsidRDefault="00F16B4C" w:rsidP="000947DB">
            <w:pPr>
              <w:rPr>
                <w:sz w:val="18"/>
                <w:szCs w:val="18"/>
              </w:rPr>
            </w:pPr>
          </w:p>
        </w:tc>
      </w:tr>
      <w:tr w:rsidR="00F16B4C" w:rsidRPr="00345515" w:rsidTr="00E33E6E">
        <w:tc>
          <w:tcPr>
            <w:tcW w:w="0" w:type="auto"/>
            <w:vMerge w:val="restart"/>
            <w:shd w:val="clear" w:color="auto" w:fill="auto"/>
          </w:tcPr>
          <w:p w:rsidR="00F16B4C" w:rsidRPr="00345515" w:rsidRDefault="00F16B4C" w:rsidP="000947DB">
            <w:pPr>
              <w:jc w:val="center"/>
              <w:rPr>
                <w:b/>
              </w:rPr>
            </w:pPr>
            <w:r w:rsidRPr="00345515">
              <w:rPr>
                <w:b/>
              </w:rPr>
              <w:t>NL</w:t>
            </w:r>
          </w:p>
        </w:tc>
        <w:tc>
          <w:tcPr>
            <w:tcW w:w="0" w:type="auto"/>
            <w:shd w:val="clear" w:color="auto" w:fill="auto"/>
            <w:vAlign w:val="center"/>
          </w:tcPr>
          <w:p w:rsidR="00F16B4C" w:rsidRPr="00C76B77" w:rsidRDefault="00F16B4C" w:rsidP="000947DB">
            <w:pPr>
              <w:rPr>
                <w:b/>
                <w:sz w:val="18"/>
                <w:szCs w:val="18"/>
              </w:rPr>
            </w:pPr>
            <w:r w:rsidRPr="00C76B77">
              <w:rPr>
                <w:b/>
                <w:sz w:val="18"/>
                <w:szCs w:val="18"/>
              </w:rPr>
              <w:t>Employer</w:t>
            </w:r>
          </w:p>
        </w:tc>
        <w:tc>
          <w:tcPr>
            <w:tcW w:w="0" w:type="auto"/>
            <w:shd w:val="clear" w:color="auto" w:fill="auto"/>
            <w:vAlign w:val="center"/>
          </w:tcPr>
          <w:p w:rsidR="00F16B4C" w:rsidRPr="00C76B77" w:rsidRDefault="00F16B4C" w:rsidP="000947DB">
            <w:pPr>
              <w:rPr>
                <w:sz w:val="18"/>
                <w:szCs w:val="18"/>
              </w:rPr>
            </w:pPr>
          </w:p>
        </w:tc>
      </w:tr>
      <w:tr w:rsidR="00F16B4C" w:rsidRPr="00345515" w:rsidTr="00E33E6E">
        <w:tc>
          <w:tcPr>
            <w:tcW w:w="0" w:type="auto"/>
            <w:vMerge/>
            <w:shd w:val="clear" w:color="auto" w:fill="auto"/>
            <w:vAlign w:val="center"/>
          </w:tcPr>
          <w:p w:rsidR="00F16B4C" w:rsidRPr="00345515" w:rsidRDefault="00F16B4C" w:rsidP="000947DB">
            <w:pPr>
              <w:jc w:val="center"/>
              <w:rPr>
                <w:b/>
              </w:rPr>
            </w:pPr>
          </w:p>
        </w:tc>
        <w:tc>
          <w:tcPr>
            <w:tcW w:w="0" w:type="auto"/>
            <w:gridSpan w:val="2"/>
            <w:shd w:val="clear" w:color="auto" w:fill="auto"/>
            <w:vAlign w:val="center"/>
          </w:tcPr>
          <w:p w:rsidR="00F16B4C" w:rsidRPr="00C76B77" w:rsidRDefault="00F16B4C" w:rsidP="000947DB">
            <w:pPr>
              <w:rPr>
                <w:sz w:val="18"/>
                <w:szCs w:val="18"/>
              </w:rPr>
            </w:pPr>
            <w:r w:rsidRPr="00C76B77">
              <w:rPr>
                <w:sz w:val="18"/>
                <w:szCs w:val="18"/>
              </w:rPr>
              <w:t>Payroll tax of 2% for employers with payroll in excess of $1,200,000.</w:t>
            </w:r>
          </w:p>
        </w:tc>
      </w:tr>
      <w:tr w:rsidR="00F16B4C" w:rsidRPr="00345515" w:rsidTr="00E33E6E">
        <w:trPr>
          <w:trHeight w:hRule="exact" w:val="130"/>
        </w:trPr>
        <w:tc>
          <w:tcPr>
            <w:tcW w:w="0" w:type="auto"/>
            <w:shd w:val="clear" w:color="auto" w:fill="auto"/>
            <w:vAlign w:val="center"/>
          </w:tcPr>
          <w:p w:rsidR="00F16B4C" w:rsidRPr="00345515" w:rsidRDefault="00F16B4C" w:rsidP="000947DB">
            <w:pPr>
              <w:jc w:val="center"/>
              <w:rPr>
                <w:b/>
              </w:rPr>
            </w:pPr>
          </w:p>
        </w:tc>
        <w:tc>
          <w:tcPr>
            <w:tcW w:w="0" w:type="auto"/>
            <w:shd w:val="clear" w:color="auto" w:fill="auto"/>
            <w:vAlign w:val="center"/>
          </w:tcPr>
          <w:p w:rsidR="00F16B4C" w:rsidRPr="0048693E" w:rsidRDefault="00F16B4C" w:rsidP="000947DB">
            <w:pPr>
              <w:rPr>
                <w:sz w:val="18"/>
                <w:szCs w:val="18"/>
                <w:highlight w:val="yellow"/>
              </w:rPr>
            </w:pPr>
          </w:p>
        </w:tc>
        <w:tc>
          <w:tcPr>
            <w:tcW w:w="0" w:type="auto"/>
            <w:shd w:val="clear" w:color="auto" w:fill="auto"/>
            <w:vAlign w:val="center"/>
          </w:tcPr>
          <w:p w:rsidR="00F16B4C" w:rsidRPr="0048693E" w:rsidRDefault="00F16B4C" w:rsidP="000947DB">
            <w:pPr>
              <w:rPr>
                <w:sz w:val="18"/>
                <w:szCs w:val="18"/>
                <w:highlight w:val="yellow"/>
              </w:rPr>
            </w:pPr>
          </w:p>
        </w:tc>
      </w:tr>
      <w:tr w:rsidR="00075C3E" w:rsidRPr="00345515" w:rsidTr="00E33E6E">
        <w:tc>
          <w:tcPr>
            <w:tcW w:w="0" w:type="auto"/>
            <w:vMerge w:val="restart"/>
            <w:shd w:val="clear" w:color="auto" w:fill="E5EBF7"/>
          </w:tcPr>
          <w:p w:rsidR="00075C3E" w:rsidRPr="00345515" w:rsidRDefault="00075C3E" w:rsidP="00075C3E">
            <w:pPr>
              <w:jc w:val="center"/>
              <w:rPr>
                <w:b/>
              </w:rPr>
            </w:pPr>
            <w:r w:rsidRPr="00345515">
              <w:rPr>
                <w:b/>
              </w:rPr>
              <w:t>NS</w:t>
            </w:r>
          </w:p>
        </w:tc>
        <w:tc>
          <w:tcPr>
            <w:tcW w:w="0" w:type="auto"/>
            <w:shd w:val="clear" w:color="auto" w:fill="E5EBF7"/>
            <w:vAlign w:val="center"/>
          </w:tcPr>
          <w:p w:rsidR="00075C3E" w:rsidRPr="00C76B77" w:rsidRDefault="00075C3E" w:rsidP="000947DB">
            <w:pPr>
              <w:rPr>
                <w:sz w:val="18"/>
                <w:szCs w:val="18"/>
              </w:rPr>
            </w:pPr>
            <w:r w:rsidRPr="00C76B77">
              <w:rPr>
                <w:b/>
                <w:sz w:val="18"/>
                <w:szCs w:val="18"/>
              </w:rPr>
              <w:t>Resident/Employee</w:t>
            </w:r>
          </w:p>
        </w:tc>
        <w:tc>
          <w:tcPr>
            <w:tcW w:w="0" w:type="auto"/>
            <w:shd w:val="clear" w:color="auto" w:fill="E5EBF7"/>
            <w:vAlign w:val="center"/>
          </w:tcPr>
          <w:p w:rsidR="00075C3E" w:rsidRPr="0048693E" w:rsidRDefault="00075C3E" w:rsidP="000947DB">
            <w:pPr>
              <w:rPr>
                <w:sz w:val="18"/>
                <w:szCs w:val="18"/>
                <w:highlight w:val="yellow"/>
              </w:rPr>
            </w:pPr>
          </w:p>
        </w:tc>
      </w:tr>
      <w:tr w:rsidR="00075C3E" w:rsidRPr="00345515" w:rsidTr="00E33E6E">
        <w:tc>
          <w:tcPr>
            <w:tcW w:w="0" w:type="auto"/>
            <w:vMerge/>
            <w:shd w:val="clear" w:color="auto" w:fill="E5EBF7"/>
            <w:vAlign w:val="center"/>
          </w:tcPr>
          <w:p w:rsidR="00075C3E" w:rsidRPr="00345515" w:rsidRDefault="00075C3E" w:rsidP="000947DB">
            <w:pPr>
              <w:jc w:val="center"/>
              <w:rPr>
                <w:b/>
              </w:rPr>
            </w:pPr>
          </w:p>
        </w:tc>
        <w:tc>
          <w:tcPr>
            <w:tcW w:w="0" w:type="auto"/>
            <w:gridSpan w:val="2"/>
            <w:shd w:val="clear" w:color="auto" w:fill="E5EBF7"/>
            <w:vAlign w:val="center"/>
          </w:tcPr>
          <w:p w:rsidR="00075C3E" w:rsidRPr="00C76B77" w:rsidRDefault="00075C3E" w:rsidP="000947DB">
            <w:pPr>
              <w:rPr>
                <w:sz w:val="18"/>
                <w:szCs w:val="18"/>
              </w:rPr>
            </w:pPr>
            <w:r w:rsidRPr="00C76B77">
              <w:rPr>
                <w:sz w:val="18"/>
                <w:szCs w:val="18"/>
              </w:rPr>
              <w:t>Residents do not pay premiums for Nova Scotia’s Health Insurance Programs. Residents age 65 and over can enroll in the Senior’s Pharmacare Program if they do not have private or other public drug coverage. Premium is income-based with a max</w:t>
            </w:r>
            <w:r>
              <w:rPr>
                <w:sz w:val="18"/>
                <w:szCs w:val="18"/>
              </w:rPr>
              <w:t>imum</w:t>
            </w:r>
            <w:r w:rsidRPr="00C76B77">
              <w:rPr>
                <w:sz w:val="18"/>
                <w:szCs w:val="18"/>
              </w:rPr>
              <w:t xml:space="preserve"> annual premium of $424. Premium assistance available.</w:t>
            </w:r>
          </w:p>
        </w:tc>
      </w:tr>
      <w:tr w:rsidR="00F16B4C" w:rsidRPr="00345515" w:rsidTr="00E33E6E">
        <w:trPr>
          <w:trHeight w:hRule="exact" w:val="130"/>
        </w:trPr>
        <w:tc>
          <w:tcPr>
            <w:tcW w:w="0" w:type="auto"/>
            <w:shd w:val="clear" w:color="auto" w:fill="auto"/>
            <w:vAlign w:val="center"/>
          </w:tcPr>
          <w:p w:rsidR="00F16B4C" w:rsidRPr="00345515" w:rsidRDefault="00F16B4C" w:rsidP="000947DB">
            <w:pPr>
              <w:jc w:val="center"/>
              <w:rPr>
                <w:b/>
              </w:rPr>
            </w:pPr>
          </w:p>
        </w:tc>
        <w:tc>
          <w:tcPr>
            <w:tcW w:w="0" w:type="auto"/>
            <w:gridSpan w:val="2"/>
            <w:shd w:val="clear" w:color="auto" w:fill="auto"/>
            <w:vAlign w:val="center"/>
          </w:tcPr>
          <w:p w:rsidR="00F16B4C" w:rsidRPr="0048693E" w:rsidRDefault="00F16B4C" w:rsidP="000947DB">
            <w:pPr>
              <w:rPr>
                <w:sz w:val="18"/>
                <w:szCs w:val="18"/>
                <w:highlight w:val="yellow"/>
              </w:rPr>
            </w:pPr>
          </w:p>
        </w:tc>
      </w:tr>
      <w:tr w:rsidR="00F16B4C" w:rsidRPr="00345515" w:rsidTr="00E33E6E">
        <w:tc>
          <w:tcPr>
            <w:tcW w:w="0" w:type="auto"/>
            <w:vMerge w:val="restart"/>
            <w:shd w:val="clear" w:color="auto" w:fill="auto"/>
          </w:tcPr>
          <w:p w:rsidR="00F16B4C" w:rsidRPr="00345515" w:rsidRDefault="00F16B4C" w:rsidP="000947DB">
            <w:pPr>
              <w:jc w:val="center"/>
              <w:rPr>
                <w:b/>
              </w:rPr>
            </w:pPr>
            <w:r w:rsidRPr="00345515">
              <w:rPr>
                <w:b/>
              </w:rPr>
              <w:t>ON</w:t>
            </w:r>
          </w:p>
        </w:tc>
        <w:tc>
          <w:tcPr>
            <w:tcW w:w="0" w:type="auto"/>
            <w:shd w:val="clear" w:color="auto" w:fill="auto"/>
            <w:vAlign w:val="center"/>
          </w:tcPr>
          <w:p w:rsidR="00F16B4C" w:rsidRPr="00C76B77" w:rsidRDefault="00F16B4C" w:rsidP="000947DB">
            <w:pPr>
              <w:rPr>
                <w:sz w:val="18"/>
                <w:szCs w:val="18"/>
              </w:rPr>
            </w:pPr>
            <w:r w:rsidRPr="00C76B77">
              <w:rPr>
                <w:b/>
                <w:sz w:val="18"/>
                <w:szCs w:val="18"/>
              </w:rPr>
              <w:t>Resident/Employee</w:t>
            </w:r>
          </w:p>
        </w:tc>
        <w:tc>
          <w:tcPr>
            <w:tcW w:w="0" w:type="auto"/>
            <w:shd w:val="clear" w:color="auto" w:fill="auto"/>
            <w:vAlign w:val="center"/>
          </w:tcPr>
          <w:p w:rsidR="00F16B4C" w:rsidRPr="00C76B77" w:rsidRDefault="00F16B4C" w:rsidP="000947DB">
            <w:pPr>
              <w:rPr>
                <w:sz w:val="18"/>
                <w:szCs w:val="18"/>
              </w:rPr>
            </w:pPr>
          </w:p>
        </w:tc>
      </w:tr>
      <w:tr w:rsidR="00F16B4C" w:rsidRPr="00345515" w:rsidTr="00E33E6E">
        <w:tc>
          <w:tcPr>
            <w:tcW w:w="0" w:type="auto"/>
            <w:vMerge/>
            <w:shd w:val="clear" w:color="auto" w:fill="auto"/>
            <w:vAlign w:val="center"/>
          </w:tcPr>
          <w:p w:rsidR="00F16B4C" w:rsidRPr="00345515" w:rsidRDefault="00F16B4C" w:rsidP="000947DB">
            <w:pPr>
              <w:jc w:val="center"/>
              <w:rPr>
                <w:b/>
              </w:rPr>
            </w:pPr>
          </w:p>
        </w:tc>
        <w:tc>
          <w:tcPr>
            <w:tcW w:w="0" w:type="auto"/>
            <w:gridSpan w:val="2"/>
            <w:shd w:val="clear" w:color="auto" w:fill="auto"/>
            <w:vAlign w:val="center"/>
          </w:tcPr>
          <w:p w:rsidR="00F16B4C" w:rsidRPr="00C76B77" w:rsidRDefault="00F16B4C" w:rsidP="000947DB">
            <w:pPr>
              <w:rPr>
                <w:sz w:val="18"/>
                <w:szCs w:val="18"/>
              </w:rPr>
            </w:pPr>
            <w:r w:rsidRPr="00C76B77">
              <w:rPr>
                <w:sz w:val="18"/>
                <w:szCs w:val="18"/>
              </w:rPr>
              <w:t>Residents with income of more than $20,000 are subject to paying the Ontario Health Premium through the tax system. Premium rate varies according to taxable income up to a max</w:t>
            </w:r>
            <w:r w:rsidR="001675BA">
              <w:rPr>
                <w:sz w:val="18"/>
                <w:szCs w:val="18"/>
              </w:rPr>
              <w:t>imum</w:t>
            </w:r>
            <w:r w:rsidRPr="00C76B77">
              <w:rPr>
                <w:sz w:val="18"/>
                <w:szCs w:val="18"/>
              </w:rPr>
              <w:t xml:space="preserve"> of $900 per tax year for incomes in excess of $200,600.</w:t>
            </w:r>
          </w:p>
        </w:tc>
      </w:tr>
      <w:tr w:rsidR="00F16B4C" w:rsidRPr="00345515" w:rsidTr="00E33E6E">
        <w:trPr>
          <w:trHeight w:hRule="exact" w:val="101"/>
        </w:trPr>
        <w:tc>
          <w:tcPr>
            <w:tcW w:w="0" w:type="auto"/>
            <w:vMerge/>
            <w:shd w:val="clear" w:color="auto" w:fill="auto"/>
            <w:vAlign w:val="center"/>
          </w:tcPr>
          <w:p w:rsidR="00F16B4C" w:rsidRPr="00345515" w:rsidRDefault="00F16B4C" w:rsidP="000947DB">
            <w:pPr>
              <w:jc w:val="center"/>
              <w:rPr>
                <w:b/>
              </w:rPr>
            </w:pPr>
          </w:p>
        </w:tc>
        <w:tc>
          <w:tcPr>
            <w:tcW w:w="0" w:type="auto"/>
            <w:shd w:val="clear" w:color="auto" w:fill="auto"/>
            <w:vAlign w:val="center"/>
          </w:tcPr>
          <w:p w:rsidR="00F16B4C" w:rsidRPr="00C76B77" w:rsidRDefault="00F16B4C" w:rsidP="000947DB">
            <w:pPr>
              <w:rPr>
                <w:sz w:val="18"/>
                <w:szCs w:val="18"/>
              </w:rPr>
            </w:pPr>
          </w:p>
        </w:tc>
        <w:tc>
          <w:tcPr>
            <w:tcW w:w="0" w:type="auto"/>
            <w:shd w:val="clear" w:color="auto" w:fill="auto"/>
            <w:vAlign w:val="center"/>
          </w:tcPr>
          <w:p w:rsidR="00F16B4C" w:rsidRPr="00C76B77" w:rsidRDefault="00F16B4C" w:rsidP="000947DB">
            <w:pPr>
              <w:rPr>
                <w:sz w:val="18"/>
                <w:szCs w:val="18"/>
              </w:rPr>
            </w:pPr>
          </w:p>
        </w:tc>
      </w:tr>
      <w:tr w:rsidR="00F16B4C" w:rsidRPr="00345515" w:rsidTr="00E33E6E">
        <w:tc>
          <w:tcPr>
            <w:tcW w:w="0" w:type="auto"/>
            <w:vMerge/>
            <w:shd w:val="clear" w:color="auto" w:fill="auto"/>
            <w:vAlign w:val="center"/>
          </w:tcPr>
          <w:p w:rsidR="00F16B4C" w:rsidRPr="00345515" w:rsidRDefault="00F16B4C" w:rsidP="000947DB">
            <w:pPr>
              <w:jc w:val="center"/>
              <w:rPr>
                <w:b/>
              </w:rPr>
            </w:pPr>
          </w:p>
        </w:tc>
        <w:tc>
          <w:tcPr>
            <w:tcW w:w="0" w:type="auto"/>
            <w:shd w:val="clear" w:color="auto" w:fill="auto"/>
            <w:vAlign w:val="center"/>
          </w:tcPr>
          <w:p w:rsidR="00F16B4C" w:rsidRPr="00C76B77" w:rsidRDefault="00F16B4C" w:rsidP="000947DB">
            <w:pPr>
              <w:rPr>
                <w:b/>
                <w:sz w:val="18"/>
                <w:szCs w:val="18"/>
              </w:rPr>
            </w:pPr>
            <w:r w:rsidRPr="00C76B77">
              <w:rPr>
                <w:b/>
                <w:sz w:val="18"/>
                <w:szCs w:val="18"/>
              </w:rPr>
              <w:t>Employer</w:t>
            </w:r>
          </w:p>
        </w:tc>
        <w:tc>
          <w:tcPr>
            <w:tcW w:w="0" w:type="auto"/>
            <w:shd w:val="clear" w:color="auto" w:fill="auto"/>
            <w:vAlign w:val="center"/>
          </w:tcPr>
          <w:p w:rsidR="00F16B4C" w:rsidRPr="00C76B77" w:rsidRDefault="00F16B4C" w:rsidP="000947DB">
            <w:pPr>
              <w:rPr>
                <w:sz w:val="18"/>
                <w:szCs w:val="18"/>
              </w:rPr>
            </w:pPr>
          </w:p>
        </w:tc>
      </w:tr>
      <w:tr w:rsidR="00F16B4C" w:rsidRPr="00345515" w:rsidTr="00E33E6E">
        <w:tc>
          <w:tcPr>
            <w:tcW w:w="0" w:type="auto"/>
            <w:vMerge/>
            <w:shd w:val="clear" w:color="auto" w:fill="auto"/>
            <w:vAlign w:val="center"/>
          </w:tcPr>
          <w:p w:rsidR="00F16B4C" w:rsidRPr="00345515" w:rsidRDefault="00F16B4C" w:rsidP="000947DB">
            <w:pPr>
              <w:jc w:val="center"/>
              <w:rPr>
                <w:b/>
              </w:rPr>
            </w:pPr>
          </w:p>
        </w:tc>
        <w:tc>
          <w:tcPr>
            <w:tcW w:w="0" w:type="auto"/>
            <w:gridSpan w:val="2"/>
            <w:shd w:val="clear" w:color="auto" w:fill="auto"/>
            <w:vAlign w:val="center"/>
          </w:tcPr>
          <w:p w:rsidR="00F16B4C" w:rsidRPr="00C76B77" w:rsidRDefault="00F16B4C" w:rsidP="000947DB">
            <w:pPr>
              <w:rPr>
                <w:sz w:val="18"/>
                <w:szCs w:val="18"/>
              </w:rPr>
            </w:pPr>
            <w:r w:rsidRPr="00C76B77">
              <w:rPr>
                <w:sz w:val="18"/>
                <w:szCs w:val="18"/>
              </w:rPr>
              <w:t xml:space="preserve">The Ontario </w:t>
            </w:r>
            <w:r w:rsidR="00D81BD5">
              <w:rPr>
                <w:sz w:val="18"/>
                <w:szCs w:val="18"/>
              </w:rPr>
              <w:t xml:space="preserve">Employer </w:t>
            </w:r>
            <w:r w:rsidRPr="00C76B77">
              <w:rPr>
                <w:sz w:val="18"/>
                <w:szCs w:val="18"/>
              </w:rPr>
              <w:t>Health Tax (EHT) is based on a scale between 0.98% - 1.95% where payroll is $0 - $450,000 or more.</w:t>
            </w:r>
          </w:p>
        </w:tc>
      </w:tr>
      <w:tr w:rsidR="00F16B4C" w:rsidRPr="00345515" w:rsidTr="00E33E6E">
        <w:trPr>
          <w:trHeight w:hRule="exact" w:val="130"/>
        </w:trPr>
        <w:tc>
          <w:tcPr>
            <w:tcW w:w="0" w:type="auto"/>
            <w:shd w:val="clear" w:color="auto" w:fill="auto"/>
            <w:vAlign w:val="center"/>
          </w:tcPr>
          <w:p w:rsidR="00F16B4C" w:rsidRPr="00345515" w:rsidRDefault="00F16B4C" w:rsidP="000947DB">
            <w:pPr>
              <w:jc w:val="center"/>
              <w:rPr>
                <w:b/>
              </w:rPr>
            </w:pPr>
          </w:p>
        </w:tc>
        <w:tc>
          <w:tcPr>
            <w:tcW w:w="0" w:type="auto"/>
            <w:shd w:val="clear" w:color="auto" w:fill="auto"/>
            <w:vAlign w:val="center"/>
          </w:tcPr>
          <w:p w:rsidR="00F16B4C" w:rsidRPr="0048693E" w:rsidRDefault="00F16B4C" w:rsidP="000947DB">
            <w:pPr>
              <w:rPr>
                <w:sz w:val="18"/>
                <w:szCs w:val="18"/>
                <w:highlight w:val="yellow"/>
              </w:rPr>
            </w:pPr>
          </w:p>
        </w:tc>
        <w:tc>
          <w:tcPr>
            <w:tcW w:w="0" w:type="auto"/>
            <w:shd w:val="clear" w:color="auto" w:fill="auto"/>
            <w:vAlign w:val="center"/>
          </w:tcPr>
          <w:p w:rsidR="00F16B4C" w:rsidRPr="0048693E" w:rsidRDefault="00F16B4C" w:rsidP="000947DB">
            <w:pPr>
              <w:rPr>
                <w:sz w:val="18"/>
                <w:szCs w:val="18"/>
                <w:highlight w:val="yellow"/>
              </w:rPr>
            </w:pPr>
          </w:p>
        </w:tc>
      </w:tr>
      <w:tr w:rsidR="00075C3E" w:rsidRPr="00345515" w:rsidTr="00E33E6E">
        <w:tc>
          <w:tcPr>
            <w:tcW w:w="0" w:type="auto"/>
            <w:vMerge w:val="restart"/>
            <w:shd w:val="clear" w:color="auto" w:fill="E5EBF7"/>
          </w:tcPr>
          <w:p w:rsidR="00075C3E" w:rsidRPr="00345515" w:rsidRDefault="00075C3E" w:rsidP="00075C3E">
            <w:pPr>
              <w:jc w:val="center"/>
              <w:rPr>
                <w:b/>
              </w:rPr>
            </w:pPr>
            <w:r w:rsidRPr="00345515">
              <w:rPr>
                <w:b/>
              </w:rPr>
              <w:t>QC</w:t>
            </w:r>
          </w:p>
        </w:tc>
        <w:tc>
          <w:tcPr>
            <w:tcW w:w="0" w:type="auto"/>
            <w:shd w:val="clear" w:color="auto" w:fill="E5EBF7"/>
            <w:vAlign w:val="center"/>
          </w:tcPr>
          <w:p w:rsidR="00075C3E" w:rsidRPr="00B74872" w:rsidRDefault="00075C3E" w:rsidP="000947DB">
            <w:pPr>
              <w:rPr>
                <w:sz w:val="18"/>
                <w:szCs w:val="18"/>
              </w:rPr>
            </w:pPr>
            <w:r w:rsidRPr="00B74872">
              <w:rPr>
                <w:b/>
                <w:sz w:val="18"/>
                <w:szCs w:val="18"/>
              </w:rPr>
              <w:t>Resident/Employee</w:t>
            </w:r>
          </w:p>
        </w:tc>
        <w:tc>
          <w:tcPr>
            <w:tcW w:w="0" w:type="auto"/>
            <w:shd w:val="clear" w:color="auto" w:fill="E5EBF7"/>
            <w:vAlign w:val="center"/>
          </w:tcPr>
          <w:p w:rsidR="00075C3E" w:rsidRPr="00B74872" w:rsidRDefault="00075C3E" w:rsidP="000947DB">
            <w:pPr>
              <w:rPr>
                <w:sz w:val="18"/>
                <w:szCs w:val="18"/>
              </w:rPr>
            </w:pPr>
          </w:p>
        </w:tc>
      </w:tr>
      <w:tr w:rsidR="00075C3E" w:rsidRPr="00345515" w:rsidTr="00E33E6E">
        <w:tc>
          <w:tcPr>
            <w:tcW w:w="0" w:type="auto"/>
            <w:vMerge/>
            <w:shd w:val="clear" w:color="auto" w:fill="E5EBF7"/>
            <w:vAlign w:val="center"/>
          </w:tcPr>
          <w:p w:rsidR="00075C3E" w:rsidRPr="00345515" w:rsidRDefault="00075C3E" w:rsidP="000947DB">
            <w:pPr>
              <w:jc w:val="center"/>
              <w:rPr>
                <w:b/>
              </w:rPr>
            </w:pPr>
          </w:p>
        </w:tc>
        <w:tc>
          <w:tcPr>
            <w:tcW w:w="0" w:type="auto"/>
            <w:gridSpan w:val="2"/>
            <w:shd w:val="clear" w:color="auto" w:fill="E5EBF7"/>
            <w:vAlign w:val="center"/>
          </w:tcPr>
          <w:p w:rsidR="00075C3E" w:rsidRPr="00B74872" w:rsidRDefault="00075C3E" w:rsidP="000947DB">
            <w:pPr>
              <w:rPr>
                <w:sz w:val="18"/>
                <w:szCs w:val="18"/>
              </w:rPr>
            </w:pPr>
            <w:r w:rsidRPr="00B74872">
              <w:rPr>
                <w:sz w:val="18"/>
                <w:szCs w:val="18"/>
              </w:rPr>
              <w:t xml:space="preserve">Residents covered under the provincial drug plan (RAMQ) pay an annual premium up to $667 per adult collected through taxation. </w:t>
            </w:r>
          </w:p>
        </w:tc>
      </w:tr>
      <w:tr w:rsidR="00075C3E" w:rsidRPr="00345515" w:rsidTr="00E33E6E">
        <w:trPr>
          <w:trHeight w:hRule="exact" w:val="101"/>
        </w:trPr>
        <w:tc>
          <w:tcPr>
            <w:tcW w:w="0" w:type="auto"/>
            <w:vMerge/>
            <w:shd w:val="clear" w:color="auto" w:fill="E5EBF7"/>
            <w:vAlign w:val="center"/>
          </w:tcPr>
          <w:p w:rsidR="00075C3E" w:rsidRPr="00345515" w:rsidRDefault="00075C3E" w:rsidP="000947DB">
            <w:pPr>
              <w:jc w:val="center"/>
              <w:rPr>
                <w:b/>
              </w:rPr>
            </w:pPr>
          </w:p>
        </w:tc>
        <w:tc>
          <w:tcPr>
            <w:tcW w:w="0" w:type="auto"/>
            <w:gridSpan w:val="2"/>
            <w:shd w:val="clear" w:color="auto" w:fill="E5EBF7"/>
            <w:vAlign w:val="center"/>
          </w:tcPr>
          <w:p w:rsidR="00075C3E" w:rsidRPr="00B74872" w:rsidRDefault="00075C3E" w:rsidP="000947DB">
            <w:pPr>
              <w:rPr>
                <w:sz w:val="18"/>
                <w:szCs w:val="18"/>
              </w:rPr>
            </w:pPr>
          </w:p>
        </w:tc>
      </w:tr>
      <w:tr w:rsidR="00075C3E" w:rsidRPr="00345515" w:rsidTr="00E33E6E">
        <w:tc>
          <w:tcPr>
            <w:tcW w:w="0" w:type="auto"/>
            <w:vMerge/>
            <w:shd w:val="clear" w:color="auto" w:fill="E5EBF7"/>
            <w:vAlign w:val="center"/>
          </w:tcPr>
          <w:p w:rsidR="00075C3E" w:rsidRPr="00345515" w:rsidRDefault="00075C3E" w:rsidP="000947DB">
            <w:pPr>
              <w:jc w:val="center"/>
              <w:rPr>
                <w:b/>
              </w:rPr>
            </w:pPr>
          </w:p>
        </w:tc>
        <w:tc>
          <w:tcPr>
            <w:tcW w:w="0" w:type="auto"/>
            <w:gridSpan w:val="2"/>
            <w:shd w:val="clear" w:color="auto" w:fill="E5EBF7"/>
            <w:vAlign w:val="center"/>
          </w:tcPr>
          <w:p w:rsidR="00075C3E" w:rsidRPr="00B74872" w:rsidRDefault="00075C3E" w:rsidP="000947DB">
            <w:pPr>
              <w:rPr>
                <w:sz w:val="18"/>
                <w:szCs w:val="18"/>
              </w:rPr>
            </w:pPr>
            <w:r w:rsidRPr="00B74872">
              <w:rPr>
                <w:sz w:val="18"/>
                <w:szCs w:val="18"/>
              </w:rPr>
              <w:t>Residents who are at least age 18 by the end of 2017 are subject to the Quebec Health Services Fund. First $14,545 is exempt; max</w:t>
            </w:r>
            <w:r>
              <w:rPr>
                <w:sz w:val="18"/>
                <w:szCs w:val="18"/>
              </w:rPr>
              <w:t>imum</w:t>
            </w:r>
            <w:r w:rsidRPr="00B74872">
              <w:rPr>
                <w:sz w:val="18"/>
                <w:szCs w:val="18"/>
              </w:rPr>
              <w:t xml:space="preserve"> contribution is $1,000.</w:t>
            </w:r>
          </w:p>
        </w:tc>
      </w:tr>
      <w:tr w:rsidR="00075C3E" w:rsidRPr="00345515" w:rsidTr="00E33E6E">
        <w:trPr>
          <w:trHeight w:hRule="exact" w:val="101"/>
        </w:trPr>
        <w:tc>
          <w:tcPr>
            <w:tcW w:w="0" w:type="auto"/>
            <w:vMerge/>
            <w:shd w:val="clear" w:color="auto" w:fill="E5EBF7"/>
            <w:vAlign w:val="center"/>
          </w:tcPr>
          <w:p w:rsidR="00075C3E" w:rsidRPr="00345515" w:rsidRDefault="00075C3E" w:rsidP="000947DB">
            <w:pPr>
              <w:jc w:val="center"/>
              <w:rPr>
                <w:b/>
              </w:rPr>
            </w:pPr>
          </w:p>
        </w:tc>
        <w:tc>
          <w:tcPr>
            <w:tcW w:w="0" w:type="auto"/>
            <w:gridSpan w:val="2"/>
            <w:shd w:val="clear" w:color="auto" w:fill="E5EBF7"/>
            <w:vAlign w:val="center"/>
          </w:tcPr>
          <w:p w:rsidR="00075C3E" w:rsidRPr="00B74872" w:rsidRDefault="00075C3E" w:rsidP="000947DB">
            <w:pPr>
              <w:rPr>
                <w:sz w:val="18"/>
                <w:szCs w:val="18"/>
              </w:rPr>
            </w:pPr>
          </w:p>
        </w:tc>
      </w:tr>
      <w:tr w:rsidR="00075C3E" w:rsidRPr="00345515" w:rsidTr="00E33E6E">
        <w:tc>
          <w:tcPr>
            <w:tcW w:w="0" w:type="auto"/>
            <w:vMerge/>
            <w:shd w:val="clear" w:color="auto" w:fill="E5EBF7"/>
            <w:vAlign w:val="center"/>
          </w:tcPr>
          <w:p w:rsidR="00075C3E" w:rsidRPr="00345515" w:rsidRDefault="00075C3E" w:rsidP="000947DB">
            <w:pPr>
              <w:jc w:val="center"/>
              <w:rPr>
                <w:b/>
              </w:rPr>
            </w:pPr>
          </w:p>
        </w:tc>
        <w:tc>
          <w:tcPr>
            <w:tcW w:w="0" w:type="auto"/>
            <w:gridSpan w:val="2"/>
            <w:shd w:val="clear" w:color="auto" w:fill="E5EBF7"/>
            <w:vAlign w:val="center"/>
          </w:tcPr>
          <w:p w:rsidR="00075C3E" w:rsidRPr="00B74872" w:rsidRDefault="00075C3E" w:rsidP="000947DB">
            <w:pPr>
              <w:rPr>
                <w:b/>
                <w:sz w:val="18"/>
                <w:szCs w:val="18"/>
              </w:rPr>
            </w:pPr>
            <w:r w:rsidRPr="00B74872">
              <w:rPr>
                <w:b/>
                <w:sz w:val="18"/>
                <w:szCs w:val="18"/>
              </w:rPr>
              <w:t>Employer</w:t>
            </w:r>
          </w:p>
        </w:tc>
      </w:tr>
      <w:tr w:rsidR="00075C3E" w:rsidRPr="00345515" w:rsidTr="00E33E6E">
        <w:tc>
          <w:tcPr>
            <w:tcW w:w="0" w:type="auto"/>
            <w:vMerge/>
            <w:shd w:val="clear" w:color="auto" w:fill="E5EBF7"/>
            <w:vAlign w:val="center"/>
          </w:tcPr>
          <w:p w:rsidR="00075C3E" w:rsidRPr="00345515" w:rsidRDefault="00075C3E" w:rsidP="000947DB">
            <w:pPr>
              <w:jc w:val="center"/>
              <w:rPr>
                <w:b/>
              </w:rPr>
            </w:pPr>
          </w:p>
        </w:tc>
        <w:tc>
          <w:tcPr>
            <w:tcW w:w="0" w:type="auto"/>
            <w:gridSpan w:val="2"/>
            <w:shd w:val="clear" w:color="auto" w:fill="E5EBF7"/>
            <w:vAlign w:val="center"/>
          </w:tcPr>
          <w:p w:rsidR="00075C3E" w:rsidRPr="00B74872" w:rsidRDefault="00075C3E" w:rsidP="000947DB">
            <w:pPr>
              <w:rPr>
                <w:sz w:val="18"/>
                <w:szCs w:val="18"/>
              </w:rPr>
            </w:pPr>
            <w:r w:rsidRPr="00B74872">
              <w:rPr>
                <w:sz w:val="18"/>
                <w:szCs w:val="18"/>
              </w:rPr>
              <w:t>Employer must remit the Quebec Health Services Fund (QHSF)</w:t>
            </w:r>
            <w:r>
              <w:rPr>
                <w:sz w:val="18"/>
                <w:szCs w:val="18"/>
              </w:rPr>
              <w:t>.</w:t>
            </w:r>
          </w:p>
        </w:tc>
      </w:tr>
      <w:tr w:rsidR="00075C3E" w:rsidRPr="00345515" w:rsidTr="00E33E6E">
        <w:trPr>
          <w:trHeight w:hRule="exact" w:val="101"/>
        </w:trPr>
        <w:tc>
          <w:tcPr>
            <w:tcW w:w="0" w:type="auto"/>
            <w:vMerge/>
            <w:shd w:val="clear" w:color="auto" w:fill="E5EBF7"/>
            <w:vAlign w:val="center"/>
          </w:tcPr>
          <w:p w:rsidR="00075C3E" w:rsidRPr="00345515" w:rsidRDefault="00075C3E" w:rsidP="000947DB">
            <w:pPr>
              <w:jc w:val="center"/>
              <w:rPr>
                <w:b/>
              </w:rPr>
            </w:pPr>
          </w:p>
        </w:tc>
        <w:tc>
          <w:tcPr>
            <w:tcW w:w="0" w:type="auto"/>
            <w:gridSpan w:val="2"/>
            <w:shd w:val="clear" w:color="auto" w:fill="E5EBF7"/>
            <w:vAlign w:val="center"/>
          </w:tcPr>
          <w:p w:rsidR="00075C3E" w:rsidRPr="00B74872" w:rsidRDefault="00075C3E" w:rsidP="000947DB">
            <w:pPr>
              <w:rPr>
                <w:sz w:val="18"/>
                <w:szCs w:val="18"/>
              </w:rPr>
            </w:pPr>
          </w:p>
        </w:tc>
      </w:tr>
      <w:tr w:rsidR="00075C3E" w:rsidRPr="00345515" w:rsidTr="00E33E6E">
        <w:trPr>
          <w:trHeight w:hRule="exact" w:val="216"/>
        </w:trPr>
        <w:tc>
          <w:tcPr>
            <w:tcW w:w="0" w:type="auto"/>
            <w:vMerge/>
            <w:shd w:val="clear" w:color="auto" w:fill="E5EBF7"/>
            <w:vAlign w:val="center"/>
          </w:tcPr>
          <w:p w:rsidR="00075C3E" w:rsidRPr="00345515" w:rsidRDefault="00075C3E" w:rsidP="000947DB">
            <w:pPr>
              <w:jc w:val="center"/>
              <w:rPr>
                <w:b/>
              </w:rPr>
            </w:pPr>
          </w:p>
        </w:tc>
        <w:tc>
          <w:tcPr>
            <w:tcW w:w="0" w:type="auto"/>
            <w:gridSpan w:val="2"/>
            <w:shd w:val="clear" w:color="auto" w:fill="E5EBF7"/>
            <w:vAlign w:val="center"/>
          </w:tcPr>
          <w:p w:rsidR="00075C3E" w:rsidRPr="00B74872" w:rsidRDefault="00075C3E" w:rsidP="000947DB">
            <w:pPr>
              <w:rPr>
                <w:sz w:val="18"/>
                <w:szCs w:val="18"/>
              </w:rPr>
            </w:pPr>
            <w:r w:rsidRPr="00B74872">
              <w:rPr>
                <w:sz w:val="18"/>
                <w:szCs w:val="18"/>
              </w:rPr>
              <w:t>All public sector employers pay 4.26%, regardless of their total annual payroll.</w:t>
            </w:r>
          </w:p>
        </w:tc>
      </w:tr>
      <w:tr w:rsidR="00075C3E" w:rsidRPr="00345515" w:rsidTr="00E33E6E">
        <w:trPr>
          <w:trHeight w:hRule="exact" w:val="101"/>
        </w:trPr>
        <w:tc>
          <w:tcPr>
            <w:tcW w:w="0" w:type="auto"/>
            <w:vMerge/>
            <w:shd w:val="clear" w:color="auto" w:fill="E5EBF7"/>
            <w:vAlign w:val="center"/>
          </w:tcPr>
          <w:p w:rsidR="00075C3E" w:rsidRPr="00345515" w:rsidRDefault="00075C3E" w:rsidP="000947DB">
            <w:pPr>
              <w:jc w:val="center"/>
              <w:rPr>
                <w:b/>
              </w:rPr>
            </w:pPr>
          </w:p>
        </w:tc>
        <w:tc>
          <w:tcPr>
            <w:tcW w:w="0" w:type="auto"/>
            <w:gridSpan w:val="2"/>
            <w:shd w:val="clear" w:color="auto" w:fill="E5EBF7"/>
            <w:vAlign w:val="center"/>
          </w:tcPr>
          <w:p w:rsidR="00075C3E" w:rsidRPr="00B74872" w:rsidRDefault="00075C3E" w:rsidP="000947DB">
            <w:pPr>
              <w:rPr>
                <w:sz w:val="18"/>
                <w:szCs w:val="18"/>
              </w:rPr>
            </w:pPr>
          </w:p>
        </w:tc>
      </w:tr>
      <w:tr w:rsidR="00075C3E" w:rsidRPr="00345515" w:rsidTr="00E33E6E">
        <w:trPr>
          <w:trHeight w:hRule="exact" w:val="495"/>
        </w:trPr>
        <w:tc>
          <w:tcPr>
            <w:tcW w:w="0" w:type="auto"/>
            <w:vMerge/>
            <w:shd w:val="clear" w:color="auto" w:fill="E5EBF7"/>
            <w:vAlign w:val="center"/>
          </w:tcPr>
          <w:p w:rsidR="00075C3E" w:rsidRPr="00345515" w:rsidRDefault="00075C3E" w:rsidP="000947DB">
            <w:pPr>
              <w:jc w:val="center"/>
              <w:rPr>
                <w:b/>
              </w:rPr>
            </w:pPr>
          </w:p>
        </w:tc>
        <w:tc>
          <w:tcPr>
            <w:tcW w:w="0" w:type="auto"/>
            <w:gridSpan w:val="2"/>
            <w:shd w:val="clear" w:color="auto" w:fill="E5EBF7"/>
            <w:vAlign w:val="center"/>
          </w:tcPr>
          <w:p w:rsidR="00075C3E" w:rsidRPr="00B74872" w:rsidRDefault="00075C3E" w:rsidP="000947DB">
            <w:pPr>
              <w:rPr>
                <w:sz w:val="18"/>
                <w:szCs w:val="18"/>
              </w:rPr>
            </w:pPr>
            <w:r w:rsidRPr="00B74872">
              <w:rPr>
                <w:sz w:val="18"/>
                <w:szCs w:val="18"/>
              </w:rPr>
              <w:t>All other employers pay 4.26% if their annual payroll is over $5 million; for payroll between $1 and $5 million, they pay a calculated rate; if payroll is less than $1 million, they pay 2.5%.</w:t>
            </w:r>
          </w:p>
        </w:tc>
      </w:tr>
      <w:tr w:rsidR="00075C3E" w:rsidRPr="00345515" w:rsidTr="00E33E6E">
        <w:trPr>
          <w:trHeight w:hRule="exact" w:val="101"/>
        </w:trPr>
        <w:tc>
          <w:tcPr>
            <w:tcW w:w="0" w:type="auto"/>
            <w:vMerge/>
            <w:shd w:val="clear" w:color="auto" w:fill="E5EBF7"/>
            <w:vAlign w:val="center"/>
          </w:tcPr>
          <w:p w:rsidR="00075C3E" w:rsidRPr="00345515" w:rsidRDefault="00075C3E" w:rsidP="000947DB">
            <w:pPr>
              <w:jc w:val="center"/>
              <w:rPr>
                <w:b/>
              </w:rPr>
            </w:pPr>
          </w:p>
        </w:tc>
        <w:tc>
          <w:tcPr>
            <w:tcW w:w="0" w:type="auto"/>
            <w:gridSpan w:val="2"/>
            <w:shd w:val="clear" w:color="auto" w:fill="E5EBF7"/>
            <w:vAlign w:val="center"/>
          </w:tcPr>
          <w:p w:rsidR="00075C3E" w:rsidRPr="00B74872" w:rsidRDefault="00075C3E" w:rsidP="000947DB">
            <w:pPr>
              <w:rPr>
                <w:sz w:val="18"/>
                <w:szCs w:val="18"/>
              </w:rPr>
            </w:pPr>
          </w:p>
        </w:tc>
      </w:tr>
      <w:tr w:rsidR="00075C3E" w:rsidRPr="00345515" w:rsidTr="00E33E6E">
        <w:trPr>
          <w:trHeight w:hRule="exact" w:val="477"/>
        </w:trPr>
        <w:tc>
          <w:tcPr>
            <w:tcW w:w="0" w:type="auto"/>
            <w:vMerge/>
            <w:shd w:val="clear" w:color="auto" w:fill="E5EBF7"/>
            <w:vAlign w:val="center"/>
          </w:tcPr>
          <w:p w:rsidR="00075C3E" w:rsidRPr="00345515" w:rsidRDefault="00075C3E" w:rsidP="000947DB">
            <w:pPr>
              <w:jc w:val="center"/>
              <w:rPr>
                <w:b/>
              </w:rPr>
            </w:pPr>
          </w:p>
        </w:tc>
        <w:tc>
          <w:tcPr>
            <w:tcW w:w="0" w:type="auto"/>
            <w:gridSpan w:val="2"/>
            <w:shd w:val="clear" w:color="auto" w:fill="E5EBF7"/>
            <w:vAlign w:val="center"/>
          </w:tcPr>
          <w:p w:rsidR="00075C3E" w:rsidRPr="00B74872" w:rsidRDefault="00075C3E" w:rsidP="000947DB">
            <w:pPr>
              <w:rPr>
                <w:sz w:val="18"/>
                <w:szCs w:val="18"/>
              </w:rPr>
            </w:pPr>
            <w:r w:rsidRPr="00B74872">
              <w:rPr>
                <w:sz w:val="18"/>
                <w:szCs w:val="18"/>
              </w:rPr>
              <w:t>Employers in the primary or manufacturing sectors pay 1.55% if their payroll is under $1 million; if their payroll is between $1 million and $5 million, they pay a calculated rate.</w:t>
            </w:r>
          </w:p>
        </w:tc>
      </w:tr>
      <w:tr w:rsidR="00B74872" w:rsidRPr="00345515" w:rsidTr="00E33E6E">
        <w:trPr>
          <w:trHeight w:hRule="exact" w:val="101"/>
        </w:trPr>
        <w:tc>
          <w:tcPr>
            <w:tcW w:w="0" w:type="auto"/>
            <w:shd w:val="clear" w:color="auto" w:fill="auto"/>
            <w:vAlign w:val="center"/>
          </w:tcPr>
          <w:p w:rsidR="00B74872" w:rsidRPr="00345515" w:rsidRDefault="00B74872" w:rsidP="000947DB">
            <w:pPr>
              <w:jc w:val="center"/>
              <w:rPr>
                <w:b/>
              </w:rPr>
            </w:pPr>
          </w:p>
        </w:tc>
        <w:tc>
          <w:tcPr>
            <w:tcW w:w="0" w:type="auto"/>
            <w:gridSpan w:val="2"/>
            <w:shd w:val="clear" w:color="auto" w:fill="auto"/>
            <w:vAlign w:val="center"/>
          </w:tcPr>
          <w:p w:rsidR="00B74872" w:rsidRPr="00B74872" w:rsidRDefault="00B74872" w:rsidP="000947DB">
            <w:pPr>
              <w:rPr>
                <w:sz w:val="18"/>
                <w:szCs w:val="18"/>
              </w:rPr>
            </w:pPr>
          </w:p>
        </w:tc>
      </w:tr>
      <w:tr w:rsidR="00F16B4C" w:rsidRPr="00345515" w:rsidTr="00E33E6E">
        <w:trPr>
          <w:trHeight w:val="288"/>
        </w:trPr>
        <w:tc>
          <w:tcPr>
            <w:tcW w:w="0" w:type="auto"/>
            <w:tcBorders>
              <w:top w:val="nil"/>
              <w:bottom w:val="single" w:sz="4" w:space="0" w:color="auto"/>
            </w:tcBorders>
            <w:shd w:val="clear" w:color="auto" w:fill="auto"/>
            <w:vAlign w:val="center"/>
          </w:tcPr>
          <w:p w:rsidR="00F16B4C" w:rsidRPr="00A141F1" w:rsidRDefault="00A141F1" w:rsidP="000947DB">
            <w:pPr>
              <w:jc w:val="center"/>
              <w:rPr>
                <w:b/>
                <w:i/>
              </w:rPr>
            </w:pPr>
            <w:r w:rsidRPr="00A141F1">
              <w:rPr>
                <w:b/>
                <w:i/>
              </w:rPr>
              <w:t>NOTE:</w:t>
            </w:r>
          </w:p>
        </w:tc>
        <w:tc>
          <w:tcPr>
            <w:tcW w:w="0" w:type="auto"/>
            <w:gridSpan w:val="2"/>
            <w:tcBorders>
              <w:top w:val="nil"/>
              <w:bottom w:val="single" w:sz="4" w:space="0" w:color="auto"/>
            </w:tcBorders>
            <w:shd w:val="clear" w:color="auto" w:fill="auto"/>
            <w:vAlign w:val="center"/>
          </w:tcPr>
          <w:p w:rsidR="00F16B4C" w:rsidRPr="00B74872" w:rsidRDefault="00F16B4C" w:rsidP="000947DB">
            <w:pPr>
              <w:rPr>
                <w:sz w:val="18"/>
                <w:szCs w:val="18"/>
              </w:rPr>
            </w:pPr>
            <w:r w:rsidRPr="00B74872">
              <w:rPr>
                <w:sz w:val="18"/>
                <w:szCs w:val="18"/>
              </w:rPr>
              <w:t>There are no health premiums in PE, SK, NT, NU and YT.</w:t>
            </w:r>
          </w:p>
        </w:tc>
      </w:tr>
    </w:tbl>
    <w:p w:rsidR="00345515" w:rsidRDefault="00345515">
      <w:pPr>
        <w:rPr>
          <w:rFonts w:ascii="Avenir Medium" w:eastAsiaTheme="majorEastAsia" w:hAnsi="Avenir Medium" w:cstheme="majorBidi"/>
          <w:caps/>
          <w:color w:val="C00000"/>
          <w:spacing w:val="20"/>
          <w:sz w:val="28"/>
        </w:rPr>
      </w:pPr>
      <w:r>
        <w:br w:type="page"/>
      </w:r>
    </w:p>
    <w:p w:rsidR="00295DE3" w:rsidRDefault="00F16B4C" w:rsidP="00266BE0">
      <w:pPr>
        <w:pStyle w:val="Organization"/>
      </w:pPr>
      <w:r>
        <w:lastRenderedPageBreak/>
        <w:t>TAXABLE INCOME IMPLICATIONS</w:t>
      </w:r>
    </w:p>
    <w:tbl>
      <w:tblPr>
        <w:tblStyle w:val="TableGrid"/>
        <w:tblW w:w="5000" w:type="pct"/>
        <w:tblBorders>
          <w:insideH w:val="none" w:sz="0" w:space="0" w:color="auto"/>
          <w:insideV w:val="none" w:sz="0" w:space="0" w:color="auto"/>
        </w:tblBorders>
        <w:tblLook w:val="04A0"/>
      </w:tblPr>
      <w:tblGrid>
        <w:gridCol w:w="3485"/>
        <w:gridCol w:w="7531"/>
      </w:tblGrid>
      <w:tr w:rsidR="00075C3E" w:rsidRPr="00345515" w:rsidTr="00173AD0">
        <w:trPr>
          <w:trHeight w:val="144"/>
        </w:trPr>
        <w:tc>
          <w:tcPr>
            <w:tcW w:w="1582" w:type="pct"/>
            <w:shd w:val="clear" w:color="auto" w:fill="E5EBF7"/>
            <w:vAlign w:val="center"/>
          </w:tcPr>
          <w:p w:rsidR="00F16B4C" w:rsidRPr="00B74872" w:rsidRDefault="00F16B4C" w:rsidP="000947DB">
            <w:pPr>
              <w:rPr>
                <w:b/>
              </w:rPr>
            </w:pPr>
            <w:r w:rsidRPr="00B74872">
              <w:rPr>
                <w:b/>
              </w:rPr>
              <w:t>Old Age Security</w:t>
            </w:r>
          </w:p>
        </w:tc>
        <w:tc>
          <w:tcPr>
            <w:tcW w:w="3418" w:type="pct"/>
            <w:shd w:val="clear" w:color="auto" w:fill="E5EBF7"/>
            <w:vAlign w:val="center"/>
          </w:tcPr>
          <w:p w:rsidR="00F16B4C" w:rsidRPr="00B74872" w:rsidRDefault="00F16B4C" w:rsidP="000947DB">
            <w:pPr>
              <w:rPr>
                <w:sz w:val="18"/>
              </w:rPr>
            </w:pPr>
            <w:r w:rsidRPr="00B74872">
              <w:rPr>
                <w:sz w:val="18"/>
              </w:rPr>
              <w:t>Benefit payments are taxable.</w:t>
            </w:r>
          </w:p>
        </w:tc>
      </w:tr>
      <w:tr w:rsidR="00075C3E" w:rsidRPr="00345515" w:rsidTr="00173AD0">
        <w:trPr>
          <w:trHeight w:val="144"/>
        </w:trPr>
        <w:tc>
          <w:tcPr>
            <w:tcW w:w="1582" w:type="pct"/>
            <w:vMerge w:val="restart"/>
            <w:shd w:val="clear" w:color="auto" w:fill="auto"/>
            <w:vAlign w:val="center"/>
          </w:tcPr>
          <w:p w:rsidR="00075C3E" w:rsidRPr="00B74872" w:rsidRDefault="00075C3E" w:rsidP="000947DB">
            <w:pPr>
              <w:rPr>
                <w:b/>
              </w:rPr>
            </w:pPr>
            <w:r w:rsidRPr="00B74872">
              <w:rPr>
                <w:b/>
              </w:rPr>
              <w:t>Canada/Quebec Pension Plan</w:t>
            </w:r>
          </w:p>
        </w:tc>
        <w:tc>
          <w:tcPr>
            <w:tcW w:w="3418" w:type="pct"/>
            <w:shd w:val="clear" w:color="auto" w:fill="auto"/>
            <w:vAlign w:val="center"/>
          </w:tcPr>
          <w:p w:rsidR="00075C3E" w:rsidRPr="00B74872" w:rsidRDefault="00075C3E" w:rsidP="000947DB">
            <w:pPr>
              <w:rPr>
                <w:sz w:val="18"/>
              </w:rPr>
            </w:pPr>
            <w:r w:rsidRPr="00B74872">
              <w:rPr>
                <w:sz w:val="18"/>
              </w:rPr>
              <w:t>Payments taxable</w:t>
            </w:r>
            <w:r w:rsidR="008763BF">
              <w:rPr>
                <w:sz w:val="18"/>
              </w:rPr>
              <w:t>.</w:t>
            </w:r>
          </w:p>
        </w:tc>
      </w:tr>
      <w:tr w:rsidR="00075C3E" w:rsidRPr="00345515" w:rsidTr="00173AD0">
        <w:trPr>
          <w:trHeight w:val="144"/>
        </w:trPr>
        <w:tc>
          <w:tcPr>
            <w:tcW w:w="1582" w:type="pct"/>
            <w:vMerge/>
            <w:shd w:val="clear" w:color="auto" w:fill="auto"/>
            <w:vAlign w:val="center"/>
          </w:tcPr>
          <w:p w:rsidR="00075C3E" w:rsidRPr="00B74872" w:rsidRDefault="00075C3E" w:rsidP="000947DB">
            <w:pPr>
              <w:rPr>
                <w:b/>
              </w:rPr>
            </w:pPr>
          </w:p>
        </w:tc>
        <w:tc>
          <w:tcPr>
            <w:tcW w:w="3418" w:type="pct"/>
            <w:shd w:val="clear" w:color="auto" w:fill="auto"/>
            <w:vAlign w:val="center"/>
          </w:tcPr>
          <w:p w:rsidR="00075C3E" w:rsidRPr="00B74872" w:rsidRDefault="00075C3E" w:rsidP="000947DB">
            <w:pPr>
              <w:rPr>
                <w:sz w:val="18"/>
              </w:rPr>
            </w:pPr>
            <w:r w:rsidRPr="00B74872">
              <w:rPr>
                <w:sz w:val="18"/>
              </w:rPr>
              <w:t>Employer contributions deductible</w:t>
            </w:r>
            <w:r w:rsidR="008763BF">
              <w:rPr>
                <w:sz w:val="18"/>
              </w:rPr>
              <w:t>.</w:t>
            </w:r>
          </w:p>
        </w:tc>
      </w:tr>
      <w:tr w:rsidR="00075C3E" w:rsidRPr="00345515" w:rsidTr="00173AD0">
        <w:trPr>
          <w:trHeight w:val="144"/>
        </w:trPr>
        <w:tc>
          <w:tcPr>
            <w:tcW w:w="1582" w:type="pct"/>
            <w:vMerge/>
            <w:shd w:val="clear" w:color="auto" w:fill="auto"/>
            <w:vAlign w:val="center"/>
          </w:tcPr>
          <w:p w:rsidR="00075C3E" w:rsidRPr="00B74872" w:rsidRDefault="00075C3E" w:rsidP="000947DB">
            <w:pPr>
              <w:rPr>
                <w:b/>
              </w:rPr>
            </w:pPr>
          </w:p>
        </w:tc>
        <w:tc>
          <w:tcPr>
            <w:tcW w:w="3418" w:type="pct"/>
            <w:shd w:val="clear" w:color="auto" w:fill="auto"/>
            <w:vAlign w:val="center"/>
          </w:tcPr>
          <w:p w:rsidR="00075C3E" w:rsidRPr="00B74872" w:rsidRDefault="00075C3E" w:rsidP="00075C3E">
            <w:pPr>
              <w:rPr>
                <w:sz w:val="18"/>
              </w:rPr>
            </w:pPr>
            <w:r w:rsidRPr="00B74872">
              <w:rPr>
                <w:sz w:val="18"/>
              </w:rPr>
              <w:t>Employee contributions subject to 15% tax credit</w:t>
            </w:r>
            <w:r w:rsidR="008763BF">
              <w:rPr>
                <w:sz w:val="18"/>
              </w:rPr>
              <w:t>.</w:t>
            </w:r>
          </w:p>
        </w:tc>
      </w:tr>
      <w:tr w:rsidR="00075C3E" w:rsidRPr="00345515" w:rsidTr="00173AD0">
        <w:trPr>
          <w:trHeight w:val="144"/>
        </w:trPr>
        <w:tc>
          <w:tcPr>
            <w:tcW w:w="1582" w:type="pct"/>
            <w:vMerge w:val="restart"/>
            <w:shd w:val="clear" w:color="auto" w:fill="E5EBF7"/>
            <w:vAlign w:val="center"/>
          </w:tcPr>
          <w:p w:rsidR="00075C3E" w:rsidRPr="00B74872" w:rsidRDefault="00075C3E" w:rsidP="000947DB">
            <w:pPr>
              <w:rPr>
                <w:b/>
              </w:rPr>
            </w:pPr>
            <w:r w:rsidRPr="00B74872">
              <w:rPr>
                <w:b/>
              </w:rPr>
              <w:t>Workers’ Compensation</w:t>
            </w:r>
          </w:p>
        </w:tc>
        <w:tc>
          <w:tcPr>
            <w:tcW w:w="3418" w:type="pct"/>
            <w:shd w:val="clear" w:color="auto" w:fill="E5EBF7"/>
            <w:vAlign w:val="center"/>
          </w:tcPr>
          <w:p w:rsidR="00075C3E" w:rsidRPr="00B74872" w:rsidRDefault="008763BF" w:rsidP="000947DB">
            <w:pPr>
              <w:rPr>
                <w:sz w:val="18"/>
              </w:rPr>
            </w:pPr>
            <w:r>
              <w:rPr>
                <w:sz w:val="18"/>
              </w:rPr>
              <w:t>Payments are non-taxable.</w:t>
            </w:r>
          </w:p>
        </w:tc>
      </w:tr>
      <w:tr w:rsidR="00075C3E" w:rsidRPr="00345515" w:rsidTr="00173AD0">
        <w:trPr>
          <w:trHeight w:val="144"/>
        </w:trPr>
        <w:tc>
          <w:tcPr>
            <w:tcW w:w="1582" w:type="pct"/>
            <w:vMerge/>
            <w:shd w:val="clear" w:color="auto" w:fill="E5EBF7"/>
            <w:vAlign w:val="center"/>
          </w:tcPr>
          <w:p w:rsidR="00075C3E" w:rsidRPr="00B74872" w:rsidRDefault="00075C3E" w:rsidP="000947DB">
            <w:pPr>
              <w:rPr>
                <w:b/>
              </w:rPr>
            </w:pPr>
          </w:p>
        </w:tc>
        <w:tc>
          <w:tcPr>
            <w:tcW w:w="3418" w:type="pct"/>
            <w:shd w:val="clear" w:color="auto" w:fill="E5EBF7"/>
            <w:vAlign w:val="center"/>
          </w:tcPr>
          <w:p w:rsidR="00075C3E" w:rsidRPr="00B74872" w:rsidRDefault="00075C3E" w:rsidP="000947DB">
            <w:pPr>
              <w:rPr>
                <w:sz w:val="18"/>
              </w:rPr>
            </w:pPr>
            <w:r w:rsidRPr="00B74872">
              <w:rPr>
                <w:sz w:val="18"/>
              </w:rPr>
              <w:t>Employer contributions deductible</w:t>
            </w:r>
            <w:r w:rsidR="008763BF">
              <w:rPr>
                <w:sz w:val="18"/>
              </w:rPr>
              <w:t>.</w:t>
            </w:r>
          </w:p>
        </w:tc>
      </w:tr>
      <w:tr w:rsidR="00075C3E" w:rsidRPr="00345515" w:rsidTr="00173AD0">
        <w:trPr>
          <w:trHeight w:val="144"/>
        </w:trPr>
        <w:tc>
          <w:tcPr>
            <w:tcW w:w="1582" w:type="pct"/>
            <w:vMerge w:val="restart"/>
            <w:shd w:val="clear" w:color="auto" w:fill="auto"/>
            <w:vAlign w:val="center"/>
          </w:tcPr>
          <w:p w:rsidR="00075C3E" w:rsidRPr="00B74872" w:rsidRDefault="00075C3E" w:rsidP="000947DB">
            <w:pPr>
              <w:rPr>
                <w:b/>
              </w:rPr>
            </w:pPr>
            <w:r w:rsidRPr="00B74872">
              <w:rPr>
                <w:b/>
              </w:rPr>
              <w:t>Employment Insurance</w:t>
            </w:r>
          </w:p>
        </w:tc>
        <w:tc>
          <w:tcPr>
            <w:tcW w:w="3418" w:type="pct"/>
            <w:shd w:val="clear" w:color="auto" w:fill="auto"/>
            <w:vAlign w:val="center"/>
          </w:tcPr>
          <w:p w:rsidR="00075C3E" w:rsidRPr="00B74872" w:rsidRDefault="00075C3E" w:rsidP="000947DB">
            <w:pPr>
              <w:rPr>
                <w:sz w:val="18"/>
              </w:rPr>
            </w:pPr>
            <w:r w:rsidRPr="00B74872">
              <w:rPr>
                <w:sz w:val="18"/>
              </w:rPr>
              <w:t>Benefit payments are taxable</w:t>
            </w:r>
            <w:r w:rsidR="008763BF">
              <w:rPr>
                <w:sz w:val="18"/>
              </w:rPr>
              <w:t>.</w:t>
            </w:r>
          </w:p>
        </w:tc>
      </w:tr>
      <w:tr w:rsidR="00075C3E" w:rsidRPr="00345515" w:rsidTr="00173AD0">
        <w:trPr>
          <w:trHeight w:val="144"/>
        </w:trPr>
        <w:tc>
          <w:tcPr>
            <w:tcW w:w="1582" w:type="pct"/>
            <w:vMerge/>
            <w:shd w:val="clear" w:color="auto" w:fill="auto"/>
            <w:vAlign w:val="center"/>
          </w:tcPr>
          <w:p w:rsidR="00075C3E" w:rsidRPr="00B74872" w:rsidRDefault="00075C3E" w:rsidP="000947DB">
            <w:pPr>
              <w:rPr>
                <w:b/>
              </w:rPr>
            </w:pPr>
          </w:p>
        </w:tc>
        <w:tc>
          <w:tcPr>
            <w:tcW w:w="3418" w:type="pct"/>
            <w:shd w:val="clear" w:color="auto" w:fill="auto"/>
            <w:vAlign w:val="center"/>
          </w:tcPr>
          <w:p w:rsidR="00075C3E" w:rsidRPr="00B74872" w:rsidRDefault="00075C3E" w:rsidP="000947DB">
            <w:pPr>
              <w:rPr>
                <w:sz w:val="18"/>
              </w:rPr>
            </w:pPr>
            <w:r w:rsidRPr="00B74872">
              <w:rPr>
                <w:sz w:val="18"/>
              </w:rPr>
              <w:t>Employer contributions deductible</w:t>
            </w:r>
            <w:r w:rsidR="008763BF">
              <w:rPr>
                <w:sz w:val="18"/>
              </w:rPr>
              <w:t>.</w:t>
            </w:r>
          </w:p>
        </w:tc>
      </w:tr>
      <w:tr w:rsidR="00075C3E" w:rsidRPr="00345515" w:rsidTr="00173AD0">
        <w:trPr>
          <w:trHeight w:val="144"/>
        </w:trPr>
        <w:tc>
          <w:tcPr>
            <w:tcW w:w="1582" w:type="pct"/>
            <w:vMerge w:val="restart"/>
            <w:shd w:val="clear" w:color="auto" w:fill="E5EBF7"/>
            <w:vAlign w:val="center"/>
          </w:tcPr>
          <w:p w:rsidR="00075C3E" w:rsidRPr="00B74872" w:rsidRDefault="00075C3E" w:rsidP="000947DB">
            <w:pPr>
              <w:rPr>
                <w:b/>
              </w:rPr>
            </w:pPr>
            <w:r w:rsidRPr="00B74872">
              <w:rPr>
                <w:b/>
              </w:rPr>
              <w:t>Quebec Parental Insurance Plan</w:t>
            </w:r>
          </w:p>
        </w:tc>
        <w:tc>
          <w:tcPr>
            <w:tcW w:w="3418" w:type="pct"/>
            <w:shd w:val="clear" w:color="auto" w:fill="E5EBF7"/>
            <w:vAlign w:val="center"/>
          </w:tcPr>
          <w:p w:rsidR="00075C3E" w:rsidRPr="00B74872" w:rsidRDefault="00075C3E" w:rsidP="000947DB">
            <w:pPr>
              <w:rPr>
                <w:sz w:val="18"/>
              </w:rPr>
            </w:pPr>
            <w:r w:rsidRPr="00B74872">
              <w:rPr>
                <w:sz w:val="18"/>
              </w:rPr>
              <w:t>Benefit payments are taxable</w:t>
            </w:r>
            <w:r w:rsidR="008763BF">
              <w:rPr>
                <w:sz w:val="18"/>
              </w:rPr>
              <w:t>.</w:t>
            </w:r>
          </w:p>
        </w:tc>
      </w:tr>
      <w:tr w:rsidR="00075C3E" w:rsidRPr="00345515" w:rsidTr="00173AD0">
        <w:trPr>
          <w:trHeight w:val="144"/>
        </w:trPr>
        <w:tc>
          <w:tcPr>
            <w:tcW w:w="1582" w:type="pct"/>
            <w:vMerge/>
            <w:shd w:val="clear" w:color="auto" w:fill="E5EBF7"/>
            <w:vAlign w:val="center"/>
          </w:tcPr>
          <w:p w:rsidR="00075C3E" w:rsidRPr="00B74872" w:rsidRDefault="00075C3E" w:rsidP="000947DB">
            <w:pPr>
              <w:rPr>
                <w:b/>
              </w:rPr>
            </w:pPr>
          </w:p>
        </w:tc>
        <w:tc>
          <w:tcPr>
            <w:tcW w:w="3418" w:type="pct"/>
            <w:shd w:val="clear" w:color="auto" w:fill="E5EBF7"/>
            <w:vAlign w:val="center"/>
          </w:tcPr>
          <w:p w:rsidR="00075C3E" w:rsidRPr="00B74872" w:rsidRDefault="00075C3E" w:rsidP="000947DB">
            <w:pPr>
              <w:rPr>
                <w:sz w:val="18"/>
              </w:rPr>
            </w:pPr>
            <w:r w:rsidRPr="00B74872">
              <w:rPr>
                <w:sz w:val="18"/>
              </w:rPr>
              <w:t>Employer contributions deductible</w:t>
            </w:r>
            <w:r w:rsidR="008763BF">
              <w:rPr>
                <w:sz w:val="18"/>
              </w:rPr>
              <w:t>.</w:t>
            </w:r>
          </w:p>
        </w:tc>
      </w:tr>
      <w:tr w:rsidR="00075C3E" w:rsidRPr="00345515" w:rsidTr="00173AD0">
        <w:trPr>
          <w:trHeight w:val="144"/>
        </w:trPr>
        <w:tc>
          <w:tcPr>
            <w:tcW w:w="1582" w:type="pct"/>
            <w:vMerge w:val="restart"/>
            <w:shd w:val="clear" w:color="auto" w:fill="auto"/>
            <w:vAlign w:val="center"/>
          </w:tcPr>
          <w:p w:rsidR="00075C3E" w:rsidRPr="00B74872" w:rsidRDefault="00075C3E" w:rsidP="000947DB">
            <w:pPr>
              <w:rPr>
                <w:b/>
              </w:rPr>
            </w:pPr>
            <w:r w:rsidRPr="00B74872">
              <w:rPr>
                <w:b/>
              </w:rPr>
              <w:t>Health &amp; Dental Expenses</w:t>
            </w:r>
          </w:p>
        </w:tc>
        <w:tc>
          <w:tcPr>
            <w:tcW w:w="3418" w:type="pct"/>
            <w:shd w:val="clear" w:color="auto" w:fill="auto"/>
            <w:vAlign w:val="center"/>
          </w:tcPr>
          <w:p w:rsidR="00075C3E" w:rsidRPr="00B74872" w:rsidRDefault="00075C3E" w:rsidP="000947DB">
            <w:pPr>
              <w:rPr>
                <w:sz w:val="18"/>
              </w:rPr>
            </w:pPr>
            <w:r w:rsidRPr="00655487">
              <w:rPr>
                <w:sz w:val="18"/>
                <w:u w:val="single"/>
              </w:rPr>
              <w:t>For government plans</w:t>
            </w:r>
            <w:r w:rsidRPr="00B74872">
              <w:rPr>
                <w:sz w:val="18"/>
              </w:rPr>
              <w:t>:</w:t>
            </w:r>
          </w:p>
        </w:tc>
      </w:tr>
      <w:tr w:rsidR="00075C3E" w:rsidRPr="00345515" w:rsidTr="00173AD0">
        <w:trPr>
          <w:trHeight w:val="144"/>
        </w:trPr>
        <w:tc>
          <w:tcPr>
            <w:tcW w:w="1582" w:type="pct"/>
            <w:vMerge/>
            <w:shd w:val="clear" w:color="auto" w:fill="auto"/>
            <w:vAlign w:val="center"/>
          </w:tcPr>
          <w:p w:rsidR="00075C3E" w:rsidRPr="00B74872" w:rsidRDefault="00075C3E" w:rsidP="000947DB">
            <w:pPr>
              <w:rPr>
                <w:b/>
              </w:rPr>
            </w:pPr>
          </w:p>
        </w:tc>
        <w:tc>
          <w:tcPr>
            <w:tcW w:w="3418" w:type="pct"/>
            <w:shd w:val="clear" w:color="auto" w:fill="auto"/>
            <w:vAlign w:val="center"/>
          </w:tcPr>
          <w:p w:rsidR="00075C3E" w:rsidRPr="00B74872" w:rsidRDefault="00075C3E" w:rsidP="00075C3E">
            <w:pPr>
              <w:ind w:left="157"/>
              <w:rPr>
                <w:sz w:val="18"/>
              </w:rPr>
            </w:pPr>
            <w:r w:rsidRPr="00B74872">
              <w:rPr>
                <w:sz w:val="18"/>
              </w:rPr>
              <w:t>Taxable to employee if paid by employer</w:t>
            </w:r>
            <w:r w:rsidR="008763BF">
              <w:rPr>
                <w:sz w:val="18"/>
              </w:rPr>
              <w:t>.</w:t>
            </w:r>
            <w:r w:rsidRPr="00B74872">
              <w:rPr>
                <w:sz w:val="18"/>
              </w:rPr>
              <w:t xml:space="preserve"> </w:t>
            </w:r>
          </w:p>
        </w:tc>
      </w:tr>
      <w:tr w:rsidR="00075C3E" w:rsidRPr="00345515" w:rsidTr="00173AD0">
        <w:trPr>
          <w:trHeight w:val="144"/>
        </w:trPr>
        <w:tc>
          <w:tcPr>
            <w:tcW w:w="1582" w:type="pct"/>
            <w:vMerge/>
            <w:shd w:val="clear" w:color="auto" w:fill="auto"/>
            <w:vAlign w:val="center"/>
          </w:tcPr>
          <w:p w:rsidR="00075C3E" w:rsidRPr="00B74872" w:rsidRDefault="00075C3E" w:rsidP="000947DB">
            <w:pPr>
              <w:rPr>
                <w:b/>
              </w:rPr>
            </w:pPr>
          </w:p>
        </w:tc>
        <w:tc>
          <w:tcPr>
            <w:tcW w:w="3418" w:type="pct"/>
            <w:shd w:val="clear" w:color="auto" w:fill="auto"/>
            <w:vAlign w:val="center"/>
          </w:tcPr>
          <w:p w:rsidR="00075C3E" w:rsidRPr="00B74872" w:rsidRDefault="00075C3E" w:rsidP="00075C3E">
            <w:pPr>
              <w:ind w:left="157"/>
              <w:rPr>
                <w:sz w:val="18"/>
              </w:rPr>
            </w:pPr>
            <w:r w:rsidRPr="00B74872">
              <w:rPr>
                <w:sz w:val="18"/>
              </w:rPr>
              <w:t>Not deductible if paid by the employee</w:t>
            </w:r>
            <w:r w:rsidR="008763BF">
              <w:rPr>
                <w:sz w:val="18"/>
              </w:rPr>
              <w:t>.</w:t>
            </w:r>
          </w:p>
        </w:tc>
      </w:tr>
      <w:tr w:rsidR="00075C3E" w:rsidRPr="00345515" w:rsidTr="00173AD0">
        <w:trPr>
          <w:trHeight w:val="144"/>
        </w:trPr>
        <w:tc>
          <w:tcPr>
            <w:tcW w:w="1582" w:type="pct"/>
            <w:vMerge/>
            <w:shd w:val="clear" w:color="auto" w:fill="auto"/>
            <w:vAlign w:val="center"/>
          </w:tcPr>
          <w:p w:rsidR="00075C3E" w:rsidRPr="00B74872" w:rsidRDefault="00075C3E" w:rsidP="000947DB">
            <w:pPr>
              <w:rPr>
                <w:b/>
              </w:rPr>
            </w:pPr>
          </w:p>
        </w:tc>
        <w:tc>
          <w:tcPr>
            <w:tcW w:w="3418" w:type="pct"/>
            <w:shd w:val="clear" w:color="auto" w:fill="auto"/>
            <w:vAlign w:val="center"/>
          </w:tcPr>
          <w:p w:rsidR="00075C3E" w:rsidRPr="00B74872" w:rsidRDefault="00075C3E" w:rsidP="00075C3E">
            <w:pPr>
              <w:ind w:left="157"/>
              <w:rPr>
                <w:sz w:val="18"/>
              </w:rPr>
            </w:pPr>
            <w:r w:rsidRPr="00B74872">
              <w:rPr>
                <w:sz w:val="18"/>
              </w:rPr>
              <w:t>Quebec provides a tax credit on individual contributions</w:t>
            </w:r>
            <w:r w:rsidR="008763BF">
              <w:rPr>
                <w:sz w:val="18"/>
              </w:rPr>
              <w:t>.</w:t>
            </w:r>
          </w:p>
        </w:tc>
      </w:tr>
      <w:tr w:rsidR="00075C3E" w:rsidRPr="00345515" w:rsidTr="00173AD0">
        <w:trPr>
          <w:trHeight w:val="144"/>
        </w:trPr>
        <w:tc>
          <w:tcPr>
            <w:tcW w:w="1582" w:type="pct"/>
            <w:vMerge/>
            <w:shd w:val="clear" w:color="auto" w:fill="auto"/>
            <w:vAlign w:val="center"/>
          </w:tcPr>
          <w:p w:rsidR="00075C3E" w:rsidRPr="0048693E" w:rsidRDefault="00075C3E" w:rsidP="000947DB">
            <w:pPr>
              <w:rPr>
                <w:b/>
                <w:highlight w:val="yellow"/>
              </w:rPr>
            </w:pPr>
          </w:p>
        </w:tc>
        <w:tc>
          <w:tcPr>
            <w:tcW w:w="3418" w:type="pct"/>
            <w:shd w:val="clear" w:color="auto" w:fill="auto"/>
            <w:vAlign w:val="center"/>
          </w:tcPr>
          <w:p w:rsidR="00075C3E" w:rsidRPr="00B74872" w:rsidRDefault="00075C3E" w:rsidP="000947DB">
            <w:pPr>
              <w:rPr>
                <w:sz w:val="18"/>
              </w:rPr>
            </w:pPr>
            <w:r w:rsidRPr="00655487">
              <w:rPr>
                <w:sz w:val="18"/>
                <w:u w:val="single"/>
              </w:rPr>
              <w:t>For private plans</w:t>
            </w:r>
            <w:r w:rsidRPr="00B74872">
              <w:rPr>
                <w:sz w:val="18"/>
              </w:rPr>
              <w:t xml:space="preserve">: </w:t>
            </w:r>
          </w:p>
        </w:tc>
      </w:tr>
      <w:tr w:rsidR="00075C3E" w:rsidRPr="00345515" w:rsidTr="00173AD0">
        <w:trPr>
          <w:trHeight w:val="144"/>
        </w:trPr>
        <w:tc>
          <w:tcPr>
            <w:tcW w:w="1582" w:type="pct"/>
            <w:vMerge/>
            <w:shd w:val="clear" w:color="auto" w:fill="auto"/>
            <w:vAlign w:val="center"/>
          </w:tcPr>
          <w:p w:rsidR="00075C3E" w:rsidRPr="0048693E" w:rsidRDefault="00075C3E" w:rsidP="000947DB">
            <w:pPr>
              <w:rPr>
                <w:b/>
                <w:highlight w:val="yellow"/>
              </w:rPr>
            </w:pPr>
          </w:p>
        </w:tc>
        <w:tc>
          <w:tcPr>
            <w:tcW w:w="3418" w:type="pct"/>
            <w:shd w:val="clear" w:color="auto" w:fill="auto"/>
            <w:vAlign w:val="center"/>
          </w:tcPr>
          <w:p w:rsidR="00075C3E" w:rsidRPr="00B74872" w:rsidRDefault="00075C3E" w:rsidP="00075C3E">
            <w:pPr>
              <w:ind w:left="157"/>
              <w:rPr>
                <w:sz w:val="18"/>
              </w:rPr>
            </w:pPr>
            <w:r w:rsidRPr="00B74872">
              <w:rPr>
                <w:sz w:val="18"/>
              </w:rPr>
              <w:t>Employers may deduct their contributions</w:t>
            </w:r>
            <w:r w:rsidR="008763BF">
              <w:rPr>
                <w:sz w:val="18"/>
              </w:rPr>
              <w:t>.</w:t>
            </w:r>
          </w:p>
        </w:tc>
      </w:tr>
      <w:tr w:rsidR="00075C3E" w:rsidRPr="00345515" w:rsidTr="00173AD0">
        <w:trPr>
          <w:trHeight w:val="144"/>
        </w:trPr>
        <w:tc>
          <w:tcPr>
            <w:tcW w:w="1582" w:type="pct"/>
            <w:vMerge/>
            <w:shd w:val="clear" w:color="auto" w:fill="auto"/>
            <w:vAlign w:val="center"/>
          </w:tcPr>
          <w:p w:rsidR="00075C3E" w:rsidRPr="0048693E" w:rsidRDefault="00075C3E" w:rsidP="000947DB">
            <w:pPr>
              <w:rPr>
                <w:b/>
                <w:highlight w:val="yellow"/>
              </w:rPr>
            </w:pPr>
          </w:p>
        </w:tc>
        <w:tc>
          <w:tcPr>
            <w:tcW w:w="3418" w:type="pct"/>
            <w:shd w:val="clear" w:color="auto" w:fill="auto"/>
            <w:vAlign w:val="center"/>
          </w:tcPr>
          <w:p w:rsidR="00075C3E" w:rsidRPr="00B74872" w:rsidRDefault="00075C3E" w:rsidP="00075C3E">
            <w:pPr>
              <w:ind w:left="157"/>
              <w:rPr>
                <w:sz w:val="18"/>
              </w:rPr>
            </w:pPr>
            <w:r w:rsidRPr="00B74872">
              <w:rPr>
                <w:sz w:val="18"/>
              </w:rPr>
              <w:t>Benefits are not taxable to employees except in Quebec, where employer contributions are taxable to employees and qualify for the medical expense tax credit</w:t>
            </w:r>
            <w:r w:rsidR="008763BF">
              <w:rPr>
                <w:sz w:val="18"/>
              </w:rPr>
              <w:t>.</w:t>
            </w:r>
          </w:p>
        </w:tc>
      </w:tr>
      <w:tr w:rsidR="00075C3E" w:rsidRPr="00345515" w:rsidTr="00173AD0">
        <w:trPr>
          <w:trHeight w:val="144"/>
        </w:trPr>
        <w:tc>
          <w:tcPr>
            <w:tcW w:w="1582" w:type="pct"/>
            <w:vMerge w:val="restart"/>
            <w:shd w:val="clear" w:color="auto" w:fill="E5EBF7"/>
            <w:vAlign w:val="center"/>
          </w:tcPr>
          <w:p w:rsidR="00075C3E" w:rsidRPr="00B74872" w:rsidRDefault="00075C3E" w:rsidP="000947DB">
            <w:pPr>
              <w:rPr>
                <w:b/>
              </w:rPr>
            </w:pPr>
            <w:r w:rsidRPr="00B74872">
              <w:rPr>
                <w:b/>
              </w:rPr>
              <w:t>Insured Group Sickness/Disability Plans</w:t>
            </w:r>
          </w:p>
        </w:tc>
        <w:tc>
          <w:tcPr>
            <w:tcW w:w="3418" w:type="pct"/>
            <w:shd w:val="clear" w:color="auto" w:fill="E5EBF7"/>
            <w:vAlign w:val="center"/>
          </w:tcPr>
          <w:p w:rsidR="00075C3E" w:rsidRPr="00B74872" w:rsidRDefault="00075C3E" w:rsidP="000947DB">
            <w:pPr>
              <w:rPr>
                <w:sz w:val="18"/>
              </w:rPr>
            </w:pPr>
            <w:r w:rsidRPr="00B74872">
              <w:rPr>
                <w:sz w:val="18"/>
              </w:rPr>
              <w:t>Benefits paid from a plan to which employer contributes are taxable</w:t>
            </w:r>
            <w:r w:rsidR="008763BF">
              <w:rPr>
                <w:sz w:val="18"/>
              </w:rPr>
              <w:t>.</w:t>
            </w:r>
          </w:p>
        </w:tc>
      </w:tr>
      <w:tr w:rsidR="00075C3E" w:rsidRPr="00345515" w:rsidTr="00173AD0">
        <w:trPr>
          <w:trHeight w:val="144"/>
        </w:trPr>
        <w:tc>
          <w:tcPr>
            <w:tcW w:w="1582" w:type="pct"/>
            <w:vMerge/>
            <w:shd w:val="clear" w:color="auto" w:fill="E5EBF7"/>
            <w:vAlign w:val="center"/>
          </w:tcPr>
          <w:p w:rsidR="00075C3E" w:rsidRPr="00B74872" w:rsidRDefault="00075C3E" w:rsidP="000947DB">
            <w:pPr>
              <w:rPr>
                <w:b/>
              </w:rPr>
            </w:pPr>
          </w:p>
        </w:tc>
        <w:tc>
          <w:tcPr>
            <w:tcW w:w="3418" w:type="pct"/>
            <w:shd w:val="clear" w:color="auto" w:fill="E5EBF7"/>
            <w:vAlign w:val="center"/>
          </w:tcPr>
          <w:p w:rsidR="00075C3E" w:rsidRPr="00B74872" w:rsidRDefault="00075C3E" w:rsidP="000947DB">
            <w:pPr>
              <w:rPr>
                <w:sz w:val="18"/>
              </w:rPr>
            </w:pPr>
            <w:r w:rsidRPr="00B74872">
              <w:rPr>
                <w:sz w:val="18"/>
              </w:rPr>
              <w:t>Employer contributions not taxable to employee</w:t>
            </w:r>
            <w:r w:rsidR="008763BF">
              <w:rPr>
                <w:sz w:val="18"/>
              </w:rPr>
              <w:t>.</w:t>
            </w:r>
          </w:p>
        </w:tc>
      </w:tr>
      <w:tr w:rsidR="00075C3E" w:rsidRPr="00345515" w:rsidTr="00173AD0">
        <w:trPr>
          <w:trHeight w:val="144"/>
        </w:trPr>
        <w:tc>
          <w:tcPr>
            <w:tcW w:w="1582" w:type="pct"/>
            <w:vMerge/>
            <w:shd w:val="clear" w:color="auto" w:fill="E5EBF7"/>
            <w:vAlign w:val="center"/>
          </w:tcPr>
          <w:p w:rsidR="00075C3E" w:rsidRPr="00B74872" w:rsidRDefault="00075C3E" w:rsidP="000947DB">
            <w:pPr>
              <w:rPr>
                <w:b/>
              </w:rPr>
            </w:pPr>
          </w:p>
        </w:tc>
        <w:tc>
          <w:tcPr>
            <w:tcW w:w="3418" w:type="pct"/>
            <w:shd w:val="clear" w:color="auto" w:fill="E5EBF7"/>
            <w:vAlign w:val="center"/>
          </w:tcPr>
          <w:p w:rsidR="00075C3E" w:rsidRPr="00B74872" w:rsidRDefault="00075C3E" w:rsidP="000947DB">
            <w:pPr>
              <w:rPr>
                <w:sz w:val="18"/>
              </w:rPr>
            </w:pPr>
            <w:r w:rsidRPr="00B74872">
              <w:rPr>
                <w:sz w:val="18"/>
              </w:rPr>
              <w:t>Lump sum payments in settlement of future payments from an insured disability policy are not taxable to the employee</w:t>
            </w:r>
            <w:r w:rsidR="008763BF">
              <w:rPr>
                <w:sz w:val="18"/>
              </w:rPr>
              <w:t>.</w:t>
            </w:r>
          </w:p>
        </w:tc>
      </w:tr>
      <w:tr w:rsidR="00075C3E" w:rsidRPr="00345515" w:rsidTr="00173AD0">
        <w:trPr>
          <w:trHeight w:val="144"/>
        </w:trPr>
        <w:tc>
          <w:tcPr>
            <w:tcW w:w="1582" w:type="pct"/>
            <w:vMerge/>
            <w:shd w:val="clear" w:color="auto" w:fill="E5EBF7"/>
            <w:vAlign w:val="center"/>
          </w:tcPr>
          <w:p w:rsidR="00075C3E" w:rsidRPr="00B74872" w:rsidRDefault="00075C3E" w:rsidP="000947DB">
            <w:pPr>
              <w:rPr>
                <w:b/>
              </w:rPr>
            </w:pPr>
          </w:p>
        </w:tc>
        <w:tc>
          <w:tcPr>
            <w:tcW w:w="3418" w:type="pct"/>
            <w:shd w:val="clear" w:color="auto" w:fill="E5EBF7"/>
            <w:vAlign w:val="center"/>
          </w:tcPr>
          <w:p w:rsidR="00075C3E" w:rsidRPr="00B74872" w:rsidRDefault="00075C3E" w:rsidP="000947DB">
            <w:pPr>
              <w:rPr>
                <w:sz w:val="18"/>
              </w:rPr>
            </w:pPr>
            <w:r w:rsidRPr="00B74872">
              <w:rPr>
                <w:sz w:val="18"/>
              </w:rPr>
              <w:t>Employer contributions are taxable except to the extent that the contributions are attributable to benefits that are payable on a periodic basis and are in respect of a loss of employment income</w:t>
            </w:r>
            <w:r w:rsidR="008763BF">
              <w:rPr>
                <w:sz w:val="18"/>
              </w:rPr>
              <w:t>.</w:t>
            </w:r>
          </w:p>
        </w:tc>
      </w:tr>
      <w:tr w:rsidR="00075C3E" w:rsidRPr="00345515" w:rsidTr="00173AD0">
        <w:trPr>
          <w:trHeight w:val="144"/>
        </w:trPr>
        <w:tc>
          <w:tcPr>
            <w:tcW w:w="1582" w:type="pct"/>
            <w:vMerge w:val="restart"/>
            <w:shd w:val="clear" w:color="auto" w:fill="auto"/>
            <w:vAlign w:val="center"/>
          </w:tcPr>
          <w:p w:rsidR="00075C3E" w:rsidRPr="00B74872" w:rsidRDefault="00075C3E" w:rsidP="000947DB">
            <w:pPr>
              <w:rPr>
                <w:b/>
              </w:rPr>
            </w:pPr>
            <w:r w:rsidRPr="00B74872">
              <w:rPr>
                <w:b/>
              </w:rPr>
              <w:t>Registered Retirement Savings Plan (RRSP)</w:t>
            </w:r>
          </w:p>
        </w:tc>
        <w:tc>
          <w:tcPr>
            <w:tcW w:w="3418" w:type="pct"/>
            <w:shd w:val="clear" w:color="auto" w:fill="auto"/>
            <w:vAlign w:val="center"/>
          </w:tcPr>
          <w:p w:rsidR="00075C3E" w:rsidRPr="00B74872" w:rsidRDefault="00075C3E" w:rsidP="000947DB">
            <w:pPr>
              <w:rPr>
                <w:sz w:val="18"/>
              </w:rPr>
            </w:pPr>
            <w:r w:rsidRPr="00B74872">
              <w:rPr>
                <w:sz w:val="18"/>
              </w:rPr>
              <w:t xml:space="preserve">18% of earned income in the prior year can be contributed plus unused contribution room since 1991. </w:t>
            </w:r>
          </w:p>
        </w:tc>
      </w:tr>
      <w:tr w:rsidR="00075C3E" w:rsidRPr="00345515" w:rsidTr="00173AD0">
        <w:trPr>
          <w:trHeight w:val="144"/>
        </w:trPr>
        <w:tc>
          <w:tcPr>
            <w:tcW w:w="1582" w:type="pct"/>
            <w:vMerge/>
            <w:shd w:val="clear" w:color="auto" w:fill="auto"/>
            <w:vAlign w:val="center"/>
          </w:tcPr>
          <w:p w:rsidR="00075C3E" w:rsidRPr="00B74872" w:rsidRDefault="00075C3E" w:rsidP="000947DB">
            <w:pPr>
              <w:rPr>
                <w:b/>
              </w:rPr>
            </w:pPr>
          </w:p>
        </w:tc>
        <w:tc>
          <w:tcPr>
            <w:tcW w:w="3418" w:type="pct"/>
            <w:shd w:val="clear" w:color="auto" w:fill="auto"/>
            <w:vAlign w:val="center"/>
          </w:tcPr>
          <w:p w:rsidR="00075C3E" w:rsidRPr="00B74872" w:rsidRDefault="00075C3E" w:rsidP="000947DB">
            <w:pPr>
              <w:rPr>
                <w:sz w:val="18"/>
              </w:rPr>
            </w:pPr>
            <w:r w:rsidRPr="00B74872">
              <w:rPr>
                <w:sz w:val="18"/>
              </w:rPr>
              <w:t>Withdrawals are taxed as income in the year withdrawn.</w:t>
            </w:r>
          </w:p>
        </w:tc>
      </w:tr>
      <w:tr w:rsidR="00075C3E" w:rsidRPr="00345515" w:rsidTr="00173AD0">
        <w:trPr>
          <w:trHeight w:val="144"/>
        </w:trPr>
        <w:tc>
          <w:tcPr>
            <w:tcW w:w="1582" w:type="pct"/>
            <w:vMerge/>
            <w:shd w:val="clear" w:color="auto" w:fill="auto"/>
            <w:vAlign w:val="center"/>
          </w:tcPr>
          <w:p w:rsidR="00075C3E" w:rsidRPr="00B74872" w:rsidRDefault="00075C3E" w:rsidP="000947DB">
            <w:pPr>
              <w:rPr>
                <w:b/>
              </w:rPr>
            </w:pPr>
          </w:p>
        </w:tc>
        <w:tc>
          <w:tcPr>
            <w:tcW w:w="3418" w:type="pct"/>
            <w:shd w:val="clear" w:color="auto" w:fill="auto"/>
            <w:vAlign w:val="center"/>
          </w:tcPr>
          <w:p w:rsidR="00075C3E" w:rsidRPr="00B74872" w:rsidRDefault="00075C3E" w:rsidP="000947DB">
            <w:pPr>
              <w:rPr>
                <w:sz w:val="18"/>
              </w:rPr>
            </w:pPr>
            <w:r w:rsidRPr="00B74872">
              <w:rPr>
                <w:sz w:val="18"/>
              </w:rPr>
              <w:t>Tax-free transfers from a retiring allowance up to $2,000/year of service prior to 1996, plus $1,500 for each year of service prior to 1989 during which employer contributions to either an RPP or DPSP have not vested in the employee</w:t>
            </w:r>
            <w:r w:rsidR="008763BF">
              <w:rPr>
                <w:sz w:val="18"/>
              </w:rPr>
              <w:t>.</w:t>
            </w:r>
          </w:p>
        </w:tc>
      </w:tr>
      <w:tr w:rsidR="00075C3E" w:rsidRPr="00345515" w:rsidTr="00173AD0">
        <w:trPr>
          <w:trHeight w:val="144"/>
        </w:trPr>
        <w:tc>
          <w:tcPr>
            <w:tcW w:w="1582" w:type="pct"/>
            <w:vMerge/>
            <w:shd w:val="clear" w:color="auto" w:fill="auto"/>
            <w:vAlign w:val="center"/>
          </w:tcPr>
          <w:p w:rsidR="00075C3E" w:rsidRPr="00B74872" w:rsidRDefault="00075C3E" w:rsidP="000947DB">
            <w:pPr>
              <w:rPr>
                <w:b/>
              </w:rPr>
            </w:pPr>
          </w:p>
        </w:tc>
        <w:tc>
          <w:tcPr>
            <w:tcW w:w="3418" w:type="pct"/>
            <w:shd w:val="clear" w:color="auto" w:fill="auto"/>
            <w:vAlign w:val="center"/>
          </w:tcPr>
          <w:p w:rsidR="00075C3E" w:rsidRPr="00B74872" w:rsidRDefault="00075C3E" w:rsidP="000947DB">
            <w:pPr>
              <w:rPr>
                <w:sz w:val="18"/>
              </w:rPr>
            </w:pPr>
            <w:r w:rsidRPr="00B74872">
              <w:rPr>
                <w:sz w:val="18"/>
              </w:rPr>
              <w:t>Funds may be withdrawn totally by no later than the end of the year that the participant turns age 71</w:t>
            </w:r>
            <w:r w:rsidR="008763BF">
              <w:rPr>
                <w:sz w:val="18"/>
              </w:rPr>
              <w:t>.</w:t>
            </w:r>
          </w:p>
        </w:tc>
      </w:tr>
      <w:tr w:rsidR="00075C3E" w:rsidRPr="00345515" w:rsidTr="00173AD0">
        <w:trPr>
          <w:trHeight w:val="144"/>
        </w:trPr>
        <w:tc>
          <w:tcPr>
            <w:tcW w:w="1582" w:type="pct"/>
            <w:vMerge/>
            <w:shd w:val="clear" w:color="auto" w:fill="auto"/>
            <w:vAlign w:val="center"/>
          </w:tcPr>
          <w:p w:rsidR="00075C3E" w:rsidRPr="00B74872" w:rsidRDefault="00075C3E" w:rsidP="000947DB">
            <w:pPr>
              <w:rPr>
                <w:b/>
              </w:rPr>
            </w:pPr>
          </w:p>
        </w:tc>
        <w:tc>
          <w:tcPr>
            <w:tcW w:w="3418" w:type="pct"/>
            <w:shd w:val="clear" w:color="auto" w:fill="auto"/>
            <w:vAlign w:val="center"/>
          </w:tcPr>
          <w:p w:rsidR="00075C3E" w:rsidRPr="00B74872" w:rsidRDefault="00075C3E" w:rsidP="000947DB">
            <w:pPr>
              <w:rPr>
                <w:sz w:val="18"/>
              </w:rPr>
            </w:pPr>
            <w:r w:rsidRPr="00B74872">
              <w:rPr>
                <w:sz w:val="18"/>
              </w:rPr>
              <w:t>Funds may be used to provide a monthly pension through a Registered Retirement Income Fund (RRIF) or through the purchase of a life annuity or fixed annuity to age 90</w:t>
            </w:r>
            <w:r w:rsidR="008763BF">
              <w:rPr>
                <w:sz w:val="18"/>
              </w:rPr>
              <w:t>.</w:t>
            </w:r>
          </w:p>
        </w:tc>
      </w:tr>
      <w:tr w:rsidR="00075C3E" w:rsidRPr="00345515" w:rsidTr="00173AD0">
        <w:trPr>
          <w:trHeight w:val="144"/>
        </w:trPr>
        <w:tc>
          <w:tcPr>
            <w:tcW w:w="1582" w:type="pct"/>
            <w:vMerge w:val="restart"/>
            <w:shd w:val="clear" w:color="auto" w:fill="E5EBF7"/>
            <w:vAlign w:val="center"/>
          </w:tcPr>
          <w:p w:rsidR="00075C3E" w:rsidRPr="00B74872" w:rsidRDefault="00075C3E" w:rsidP="000947DB">
            <w:pPr>
              <w:rPr>
                <w:b/>
              </w:rPr>
            </w:pPr>
            <w:r w:rsidRPr="00B74872">
              <w:rPr>
                <w:b/>
              </w:rPr>
              <w:t>Group Life Insurance</w:t>
            </w:r>
          </w:p>
        </w:tc>
        <w:tc>
          <w:tcPr>
            <w:tcW w:w="3418" w:type="pct"/>
            <w:shd w:val="clear" w:color="auto" w:fill="E5EBF7"/>
            <w:vAlign w:val="center"/>
          </w:tcPr>
          <w:p w:rsidR="00075C3E" w:rsidRPr="00B74872" w:rsidRDefault="00075C3E" w:rsidP="000947DB">
            <w:pPr>
              <w:rPr>
                <w:sz w:val="18"/>
              </w:rPr>
            </w:pPr>
            <w:r w:rsidRPr="00B74872">
              <w:rPr>
                <w:sz w:val="18"/>
              </w:rPr>
              <w:t>Net premium paid by employer for group life insurance and dependent life is considered taxable income to employee</w:t>
            </w:r>
            <w:r w:rsidR="008763BF">
              <w:rPr>
                <w:sz w:val="18"/>
              </w:rPr>
              <w:t>.</w:t>
            </w:r>
          </w:p>
        </w:tc>
      </w:tr>
      <w:tr w:rsidR="00075C3E" w:rsidRPr="00345515" w:rsidTr="00173AD0">
        <w:trPr>
          <w:trHeight w:val="144"/>
        </w:trPr>
        <w:tc>
          <w:tcPr>
            <w:tcW w:w="1582" w:type="pct"/>
            <w:vMerge/>
            <w:shd w:val="clear" w:color="auto" w:fill="E5EBF7"/>
            <w:vAlign w:val="center"/>
          </w:tcPr>
          <w:p w:rsidR="00075C3E" w:rsidRPr="00B74872" w:rsidRDefault="00075C3E" w:rsidP="000947DB">
            <w:pPr>
              <w:rPr>
                <w:b/>
              </w:rPr>
            </w:pPr>
          </w:p>
        </w:tc>
        <w:tc>
          <w:tcPr>
            <w:tcW w:w="3418" w:type="pct"/>
            <w:shd w:val="clear" w:color="auto" w:fill="E5EBF7"/>
            <w:vAlign w:val="center"/>
          </w:tcPr>
          <w:p w:rsidR="00075C3E" w:rsidRPr="00B74872" w:rsidRDefault="00075C3E" w:rsidP="000947DB">
            <w:pPr>
              <w:rPr>
                <w:sz w:val="18"/>
              </w:rPr>
            </w:pPr>
            <w:r w:rsidRPr="00B74872">
              <w:rPr>
                <w:sz w:val="18"/>
              </w:rPr>
              <w:t>Benefits received by the employee are not taxable</w:t>
            </w:r>
            <w:r w:rsidR="008763BF">
              <w:rPr>
                <w:sz w:val="18"/>
              </w:rPr>
              <w:t>.</w:t>
            </w:r>
          </w:p>
        </w:tc>
      </w:tr>
      <w:tr w:rsidR="00075C3E" w:rsidRPr="00345515" w:rsidTr="00173AD0">
        <w:trPr>
          <w:trHeight w:val="144"/>
        </w:trPr>
        <w:tc>
          <w:tcPr>
            <w:tcW w:w="1582" w:type="pct"/>
            <w:vMerge w:val="restart"/>
            <w:shd w:val="clear" w:color="auto" w:fill="auto"/>
            <w:vAlign w:val="center"/>
          </w:tcPr>
          <w:p w:rsidR="00075C3E" w:rsidRPr="00B74872" w:rsidRDefault="00075C3E" w:rsidP="000947DB">
            <w:pPr>
              <w:rPr>
                <w:b/>
              </w:rPr>
            </w:pPr>
            <w:r>
              <w:rPr>
                <w:b/>
              </w:rPr>
              <w:t>Accidental Death &amp; Dismemberment (AD&amp;D)</w:t>
            </w:r>
          </w:p>
        </w:tc>
        <w:tc>
          <w:tcPr>
            <w:tcW w:w="3418" w:type="pct"/>
            <w:shd w:val="clear" w:color="auto" w:fill="auto"/>
            <w:vAlign w:val="center"/>
          </w:tcPr>
          <w:p w:rsidR="00075C3E" w:rsidRPr="00B74872" w:rsidRDefault="00075C3E" w:rsidP="000947DB">
            <w:pPr>
              <w:rPr>
                <w:sz w:val="18"/>
              </w:rPr>
            </w:pPr>
            <w:r>
              <w:rPr>
                <w:sz w:val="18"/>
              </w:rPr>
              <w:t>Net premium paid by employer for AD&amp;D is considered taxable income to employee.</w:t>
            </w:r>
          </w:p>
        </w:tc>
      </w:tr>
      <w:tr w:rsidR="00075C3E" w:rsidRPr="00345515" w:rsidTr="00173AD0">
        <w:trPr>
          <w:trHeight w:val="144"/>
        </w:trPr>
        <w:tc>
          <w:tcPr>
            <w:tcW w:w="1582" w:type="pct"/>
            <w:vMerge/>
            <w:shd w:val="clear" w:color="auto" w:fill="auto"/>
            <w:vAlign w:val="center"/>
          </w:tcPr>
          <w:p w:rsidR="00075C3E" w:rsidRPr="00B74872" w:rsidRDefault="00075C3E" w:rsidP="000947DB">
            <w:pPr>
              <w:rPr>
                <w:b/>
              </w:rPr>
            </w:pPr>
          </w:p>
        </w:tc>
        <w:tc>
          <w:tcPr>
            <w:tcW w:w="3418" w:type="pct"/>
            <w:shd w:val="clear" w:color="auto" w:fill="auto"/>
            <w:vAlign w:val="center"/>
          </w:tcPr>
          <w:p w:rsidR="00075C3E" w:rsidRPr="00B74872" w:rsidRDefault="00075C3E" w:rsidP="000947DB">
            <w:pPr>
              <w:rPr>
                <w:sz w:val="18"/>
              </w:rPr>
            </w:pPr>
            <w:r>
              <w:rPr>
                <w:sz w:val="18"/>
              </w:rPr>
              <w:t>Benefit received by the employee is not taxable.</w:t>
            </w:r>
          </w:p>
        </w:tc>
      </w:tr>
      <w:tr w:rsidR="00075C3E" w:rsidRPr="00345515" w:rsidTr="00173AD0">
        <w:trPr>
          <w:trHeight w:val="144"/>
        </w:trPr>
        <w:tc>
          <w:tcPr>
            <w:tcW w:w="1582" w:type="pct"/>
            <w:vMerge w:val="restart"/>
            <w:shd w:val="clear" w:color="auto" w:fill="E5EBF7"/>
            <w:vAlign w:val="center"/>
          </w:tcPr>
          <w:p w:rsidR="00075C3E" w:rsidRPr="00B74872" w:rsidRDefault="00075C3E" w:rsidP="000947DB">
            <w:pPr>
              <w:rPr>
                <w:b/>
              </w:rPr>
            </w:pPr>
            <w:r>
              <w:rPr>
                <w:b/>
              </w:rPr>
              <w:t>Critical Illness (CI)</w:t>
            </w:r>
          </w:p>
        </w:tc>
        <w:tc>
          <w:tcPr>
            <w:tcW w:w="3418" w:type="pct"/>
            <w:shd w:val="clear" w:color="auto" w:fill="E5EBF7"/>
            <w:vAlign w:val="center"/>
          </w:tcPr>
          <w:p w:rsidR="00075C3E" w:rsidRPr="00B74872" w:rsidRDefault="00075C3E" w:rsidP="000947DB">
            <w:pPr>
              <w:rPr>
                <w:sz w:val="18"/>
              </w:rPr>
            </w:pPr>
            <w:r>
              <w:rPr>
                <w:sz w:val="18"/>
              </w:rPr>
              <w:t xml:space="preserve">Net premium paid by employer for CI is considered taxable income to employee. </w:t>
            </w:r>
          </w:p>
        </w:tc>
      </w:tr>
      <w:tr w:rsidR="00075C3E" w:rsidRPr="00345515" w:rsidTr="00173AD0">
        <w:trPr>
          <w:trHeight w:val="144"/>
        </w:trPr>
        <w:tc>
          <w:tcPr>
            <w:tcW w:w="1582" w:type="pct"/>
            <w:vMerge/>
            <w:shd w:val="clear" w:color="auto" w:fill="E5EBF7"/>
            <w:vAlign w:val="center"/>
          </w:tcPr>
          <w:p w:rsidR="00075C3E" w:rsidRPr="00B74872" w:rsidRDefault="00075C3E" w:rsidP="000947DB">
            <w:pPr>
              <w:rPr>
                <w:b/>
              </w:rPr>
            </w:pPr>
          </w:p>
        </w:tc>
        <w:tc>
          <w:tcPr>
            <w:tcW w:w="3418" w:type="pct"/>
            <w:shd w:val="clear" w:color="auto" w:fill="E5EBF7"/>
            <w:vAlign w:val="center"/>
          </w:tcPr>
          <w:p w:rsidR="00075C3E" w:rsidRPr="00B74872" w:rsidRDefault="00075C3E" w:rsidP="000947DB">
            <w:pPr>
              <w:rPr>
                <w:sz w:val="18"/>
              </w:rPr>
            </w:pPr>
            <w:r>
              <w:rPr>
                <w:sz w:val="18"/>
              </w:rPr>
              <w:t>Benefit received by the employee is not taxable.</w:t>
            </w:r>
          </w:p>
        </w:tc>
      </w:tr>
      <w:tr w:rsidR="00075C3E" w:rsidRPr="00345515" w:rsidTr="00173AD0">
        <w:trPr>
          <w:trHeight w:val="144"/>
        </w:trPr>
        <w:tc>
          <w:tcPr>
            <w:tcW w:w="1582" w:type="pct"/>
            <w:vMerge w:val="restart"/>
            <w:shd w:val="clear" w:color="auto" w:fill="auto"/>
            <w:vAlign w:val="center"/>
          </w:tcPr>
          <w:p w:rsidR="00075C3E" w:rsidRPr="00B74872" w:rsidRDefault="00075C3E" w:rsidP="000947DB">
            <w:pPr>
              <w:rPr>
                <w:b/>
              </w:rPr>
            </w:pPr>
            <w:r>
              <w:rPr>
                <w:b/>
              </w:rPr>
              <w:t>Tax-Free Savings Account (TFSA)</w:t>
            </w:r>
          </w:p>
        </w:tc>
        <w:tc>
          <w:tcPr>
            <w:tcW w:w="3418" w:type="pct"/>
            <w:shd w:val="clear" w:color="auto" w:fill="auto"/>
            <w:vAlign w:val="center"/>
          </w:tcPr>
          <w:p w:rsidR="00075C3E" w:rsidRPr="00B74872" w:rsidRDefault="00075C3E" w:rsidP="000947DB">
            <w:pPr>
              <w:rPr>
                <w:sz w:val="18"/>
              </w:rPr>
            </w:pPr>
            <w:r w:rsidRPr="00621E0C">
              <w:rPr>
                <w:sz w:val="18"/>
              </w:rPr>
              <w:t>Canadian residents 18 years of age and older can contribute up to $5,500</w:t>
            </w:r>
            <w:r>
              <w:rPr>
                <w:sz w:val="18"/>
              </w:rPr>
              <w:t xml:space="preserve"> </w:t>
            </w:r>
            <w:r w:rsidRPr="00621E0C">
              <w:rPr>
                <w:sz w:val="18"/>
              </w:rPr>
              <w:t>in 2017, plus any unused TFSA contributions since the program’s inception.</w:t>
            </w:r>
          </w:p>
        </w:tc>
      </w:tr>
      <w:tr w:rsidR="00075C3E" w:rsidRPr="00345515" w:rsidTr="00173AD0">
        <w:trPr>
          <w:trHeight w:val="144"/>
        </w:trPr>
        <w:tc>
          <w:tcPr>
            <w:tcW w:w="1582" w:type="pct"/>
            <w:vMerge/>
            <w:shd w:val="clear" w:color="auto" w:fill="auto"/>
            <w:vAlign w:val="center"/>
          </w:tcPr>
          <w:p w:rsidR="00075C3E" w:rsidRPr="00B74872" w:rsidRDefault="00075C3E" w:rsidP="000947DB">
            <w:pPr>
              <w:rPr>
                <w:b/>
              </w:rPr>
            </w:pPr>
          </w:p>
        </w:tc>
        <w:tc>
          <w:tcPr>
            <w:tcW w:w="3418" w:type="pct"/>
            <w:shd w:val="clear" w:color="auto" w:fill="auto"/>
            <w:vAlign w:val="center"/>
          </w:tcPr>
          <w:p w:rsidR="00075C3E" w:rsidRPr="00B74872" w:rsidRDefault="00075C3E" w:rsidP="000947DB">
            <w:pPr>
              <w:rPr>
                <w:sz w:val="18"/>
              </w:rPr>
            </w:pPr>
            <w:r w:rsidRPr="00621E0C">
              <w:rPr>
                <w:sz w:val="18"/>
              </w:rPr>
              <w:t>Contributions are not deductible from income.</w:t>
            </w:r>
          </w:p>
        </w:tc>
      </w:tr>
      <w:tr w:rsidR="00075C3E" w:rsidRPr="00345515" w:rsidTr="00173AD0">
        <w:trPr>
          <w:trHeight w:val="144"/>
        </w:trPr>
        <w:tc>
          <w:tcPr>
            <w:tcW w:w="1582" w:type="pct"/>
            <w:vMerge/>
            <w:shd w:val="clear" w:color="auto" w:fill="auto"/>
            <w:vAlign w:val="center"/>
          </w:tcPr>
          <w:p w:rsidR="00075C3E" w:rsidRPr="00B74872" w:rsidRDefault="00075C3E" w:rsidP="000947DB">
            <w:pPr>
              <w:rPr>
                <w:b/>
              </w:rPr>
            </w:pPr>
          </w:p>
        </w:tc>
        <w:tc>
          <w:tcPr>
            <w:tcW w:w="3418" w:type="pct"/>
            <w:shd w:val="clear" w:color="auto" w:fill="auto"/>
            <w:vAlign w:val="center"/>
          </w:tcPr>
          <w:p w:rsidR="00075C3E" w:rsidRPr="00B74872" w:rsidRDefault="00075C3E" w:rsidP="00411C61">
            <w:pPr>
              <w:rPr>
                <w:sz w:val="18"/>
              </w:rPr>
            </w:pPr>
            <w:r w:rsidRPr="00621E0C">
              <w:rPr>
                <w:sz w:val="18"/>
              </w:rPr>
              <w:t>Withdrawals can be made at</w:t>
            </w:r>
            <w:r>
              <w:rPr>
                <w:sz w:val="18"/>
              </w:rPr>
              <w:t xml:space="preserve"> </w:t>
            </w:r>
            <w:r w:rsidRPr="00621E0C">
              <w:rPr>
                <w:sz w:val="18"/>
              </w:rPr>
              <w:t>any time and the amount of the withdrawal can be added to the contribution</w:t>
            </w:r>
            <w:r>
              <w:rPr>
                <w:sz w:val="18"/>
              </w:rPr>
              <w:t xml:space="preserve"> </w:t>
            </w:r>
            <w:r w:rsidRPr="00621E0C">
              <w:rPr>
                <w:sz w:val="18"/>
              </w:rPr>
              <w:t>room for the following year</w:t>
            </w:r>
            <w:r w:rsidR="008763BF">
              <w:rPr>
                <w:sz w:val="18"/>
              </w:rPr>
              <w:t>.</w:t>
            </w:r>
          </w:p>
        </w:tc>
      </w:tr>
      <w:tr w:rsidR="00075C3E" w:rsidRPr="00345515" w:rsidTr="00173AD0">
        <w:trPr>
          <w:trHeight w:val="144"/>
        </w:trPr>
        <w:tc>
          <w:tcPr>
            <w:tcW w:w="1582" w:type="pct"/>
            <w:vMerge/>
            <w:shd w:val="clear" w:color="auto" w:fill="auto"/>
            <w:vAlign w:val="center"/>
          </w:tcPr>
          <w:p w:rsidR="00075C3E" w:rsidRPr="00B74872" w:rsidRDefault="00075C3E" w:rsidP="000947DB">
            <w:pPr>
              <w:rPr>
                <w:b/>
              </w:rPr>
            </w:pPr>
          </w:p>
        </w:tc>
        <w:tc>
          <w:tcPr>
            <w:tcW w:w="3418" w:type="pct"/>
            <w:shd w:val="clear" w:color="auto" w:fill="auto"/>
            <w:vAlign w:val="center"/>
          </w:tcPr>
          <w:p w:rsidR="00075C3E" w:rsidRPr="00B74872" w:rsidRDefault="00075C3E" w:rsidP="00411C61">
            <w:pPr>
              <w:rPr>
                <w:sz w:val="18"/>
              </w:rPr>
            </w:pPr>
            <w:r w:rsidRPr="00621E0C">
              <w:rPr>
                <w:sz w:val="18"/>
              </w:rPr>
              <w:t>Unused contribution room may be carried forward</w:t>
            </w:r>
            <w:r>
              <w:rPr>
                <w:sz w:val="18"/>
              </w:rPr>
              <w:t xml:space="preserve"> </w:t>
            </w:r>
            <w:r w:rsidRPr="00621E0C">
              <w:rPr>
                <w:sz w:val="18"/>
              </w:rPr>
              <w:t>Indefinitely</w:t>
            </w:r>
            <w:r>
              <w:rPr>
                <w:sz w:val="18"/>
              </w:rPr>
              <w:t>.</w:t>
            </w:r>
          </w:p>
        </w:tc>
      </w:tr>
    </w:tbl>
    <w:p w:rsidR="00173AD0" w:rsidRDefault="00173AD0">
      <w:pPr>
        <w:rPr>
          <w:rFonts w:ascii="Avenir Medium" w:eastAsiaTheme="majorEastAsia" w:hAnsi="Avenir Medium" w:cstheme="majorBidi"/>
          <w:caps/>
          <w:color w:val="C00000"/>
          <w:spacing w:val="20"/>
          <w:sz w:val="28"/>
        </w:rPr>
      </w:pPr>
      <w:r>
        <w:br w:type="page"/>
      </w:r>
    </w:p>
    <w:p w:rsidR="00F16B4C" w:rsidRPr="00F0277E" w:rsidRDefault="00F23325" w:rsidP="00266BE0">
      <w:pPr>
        <w:pStyle w:val="Organization"/>
      </w:pPr>
      <w:r>
        <w:lastRenderedPageBreak/>
        <w:t>LINKS</w:t>
      </w:r>
      <w:r w:rsidR="00F16B4C" w:rsidRPr="00F0277E">
        <w:t xml:space="preserve"> TO MORE INFORMATION</w:t>
      </w:r>
    </w:p>
    <w:p w:rsidR="00266BE0" w:rsidRDefault="00266BE0" w:rsidP="00F063F9">
      <w:pPr>
        <w:pStyle w:val="Subtitle"/>
        <w:spacing w:after="0"/>
      </w:pPr>
      <w:r>
        <w:t>Old Age Security</w:t>
      </w:r>
    </w:p>
    <w:p w:rsidR="00F16B4C" w:rsidRPr="00F063F9" w:rsidRDefault="0035640C" w:rsidP="00F063F9">
      <w:pPr>
        <w:spacing w:before="240"/>
        <w:rPr>
          <w:rStyle w:val="Hyperlink"/>
        </w:rPr>
      </w:pPr>
      <w:r w:rsidRPr="0035640C">
        <w:rPr>
          <w:rStyle w:val="Hyperlink"/>
        </w:rPr>
        <w:fldChar w:fldCharType="begin"/>
      </w:r>
      <w:r w:rsidR="00F16B4C" w:rsidRPr="00F063F9">
        <w:rPr>
          <w:rStyle w:val="Hyperlink"/>
        </w:rPr>
        <w:instrText xml:space="preserve"> HYPERLINK "https://www.canada.ca/en/services/benefits/publicpensions/cpp/old-age-security.html" </w:instrText>
      </w:r>
      <w:r w:rsidRPr="0035640C">
        <w:rPr>
          <w:rStyle w:val="Hyperlink"/>
        </w:rPr>
        <w:fldChar w:fldCharType="separate"/>
      </w:r>
      <w:r w:rsidR="00F16B4C" w:rsidRPr="00F063F9">
        <w:rPr>
          <w:rStyle w:val="Hyperlink"/>
        </w:rPr>
        <w:t>https://www.canada.ca/en/services/benefits/publicpensions/cpp/old-age-security.html</w:t>
      </w:r>
    </w:p>
    <w:p w:rsidR="00F16B4C" w:rsidRPr="00266BE0" w:rsidRDefault="0035640C" w:rsidP="00F063F9">
      <w:pPr>
        <w:pStyle w:val="Subtitle"/>
      </w:pPr>
      <w:r w:rsidRPr="00F063F9">
        <w:rPr>
          <w:rStyle w:val="Hyperlink"/>
        </w:rPr>
        <w:fldChar w:fldCharType="end"/>
      </w:r>
      <w:r w:rsidR="00F16B4C" w:rsidRPr="00266BE0">
        <w:t>Dollar Limits on Retirement Savings Contributions</w:t>
      </w:r>
    </w:p>
    <w:tbl>
      <w:tblPr>
        <w:tblStyle w:val="TableGrid"/>
        <w:tblW w:w="0" w:type="auto"/>
        <w:tblLook w:val="04A0"/>
      </w:tblPr>
      <w:tblGrid>
        <w:gridCol w:w="1560"/>
        <w:gridCol w:w="2709"/>
        <w:gridCol w:w="3310"/>
        <w:gridCol w:w="3437"/>
      </w:tblGrid>
      <w:tr w:rsidR="00F16B4C" w:rsidRPr="00266BE0" w:rsidTr="00266BE0">
        <w:trPr>
          <w:trHeight w:val="653"/>
        </w:trPr>
        <w:tc>
          <w:tcPr>
            <w:tcW w:w="0" w:type="auto"/>
            <w:tcBorders>
              <w:top w:val="nil"/>
              <w:left w:val="nil"/>
              <w:bottom w:val="nil"/>
              <w:right w:val="nil"/>
            </w:tcBorders>
            <w:shd w:val="clear" w:color="auto" w:fill="FAE1D1" w:themeFill="accent1" w:themeFillTint="33"/>
            <w:vAlign w:val="center"/>
          </w:tcPr>
          <w:p w:rsidR="00F16B4C" w:rsidRPr="00266BE0" w:rsidRDefault="00F16B4C" w:rsidP="00266BE0">
            <w:pPr>
              <w:rPr>
                <w:b/>
              </w:rPr>
            </w:pPr>
            <w:r w:rsidRPr="00266BE0">
              <w:rPr>
                <w:b/>
              </w:rPr>
              <w:t>Current Tax Year</w:t>
            </w:r>
          </w:p>
        </w:tc>
        <w:tc>
          <w:tcPr>
            <w:tcW w:w="0" w:type="auto"/>
            <w:tcBorders>
              <w:top w:val="nil"/>
              <w:left w:val="nil"/>
              <w:bottom w:val="nil"/>
              <w:right w:val="nil"/>
            </w:tcBorders>
            <w:shd w:val="clear" w:color="auto" w:fill="FAE1D1" w:themeFill="accent1" w:themeFillTint="33"/>
            <w:vAlign w:val="center"/>
          </w:tcPr>
          <w:p w:rsidR="00F16B4C" w:rsidRPr="00266BE0" w:rsidRDefault="00F16B4C" w:rsidP="00266BE0">
            <w:pPr>
              <w:rPr>
                <w:b/>
              </w:rPr>
            </w:pPr>
            <w:r w:rsidRPr="00266BE0">
              <w:rPr>
                <w:b/>
              </w:rPr>
              <w:t>Registered Pension Plan (RPP)</w:t>
            </w:r>
          </w:p>
        </w:tc>
        <w:tc>
          <w:tcPr>
            <w:tcW w:w="0" w:type="auto"/>
            <w:tcBorders>
              <w:top w:val="nil"/>
              <w:left w:val="nil"/>
              <w:bottom w:val="nil"/>
              <w:right w:val="nil"/>
            </w:tcBorders>
            <w:shd w:val="clear" w:color="auto" w:fill="FAE1D1" w:themeFill="accent1" w:themeFillTint="33"/>
            <w:vAlign w:val="center"/>
          </w:tcPr>
          <w:p w:rsidR="00F16B4C" w:rsidRPr="00266BE0" w:rsidRDefault="00F16B4C" w:rsidP="00266BE0">
            <w:pPr>
              <w:rPr>
                <w:b/>
              </w:rPr>
            </w:pPr>
            <w:r w:rsidRPr="00266BE0">
              <w:rPr>
                <w:b/>
              </w:rPr>
              <w:t>Registered Profit Sharing Plan (DPSP)</w:t>
            </w:r>
          </w:p>
        </w:tc>
        <w:tc>
          <w:tcPr>
            <w:tcW w:w="0" w:type="auto"/>
            <w:tcBorders>
              <w:top w:val="nil"/>
              <w:left w:val="nil"/>
              <w:bottom w:val="nil"/>
              <w:right w:val="nil"/>
            </w:tcBorders>
            <w:shd w:val="clear" w:color="auto" w:fill="FAE1D1" w:themeFill="accent1" w:themeFillTint="33"/>
            <w:vAlign w:val="center"/>
          </w:tcPr>
          <w:p w:rsidR="00F16B4C" w:rsidRPr="00266BE0" w:rsidRDefault="00F16B4C" w:rsidP="00266BE0">
            <w:pPr>
              <w:rPr>
                <w:b/>
              </w:rPr>
            </w:pPr>
            <w:r w:rsidRPr="00266BE0">
              <w:rPr>
                <w:b/>
              </w:rPr>
              <w:t>Registered Retired Savings Plan (RRSP)</w:t>
            </w:r>
          </w:p>
        </w:tc>
      </w:tr>
      <w:tr w:rsidR="00F16B4C" w:rsidRPr="00266BE0" w:rsidTr="0070482C">
        <w:trPr>
          <w:trHeight w:val="392"/>
        </w:trPr>
        <w:tc>
          <w:tcPr>
            <w:tcW w:w="0" w:type="auto"/>
            <w:tcBorders>
              <w:top w:val="nil"/>
              <w:left w:val="nil"/>
              <w:bottom w:val="nil"/>
              <w:right w:val="nil"/>
            </w:tcBorders>
            <w:shd w:val="clear" w:color="auto" w:fill="auto"/>
            <w:vAlign w:val="center"/>
          </w:tcPr>
          <w:p w:rsidR="00F16B4C" w:rsidRPr="00266BE0" w:rsidRDefault="00F16B4C" w:rsidP="00266BE0">
            <w:r w:rsidRPr="00266BE0">
              <w:t>201</w:t>
            </w:r>
            <w:r w:rsidR="00075DDB">
              <w:t>8</w:t>
            </w:r>
          </w:p>
        </w:tc>
        <w:tc>
          <w:tcPr>
            <w:tcW w:w="0" w:type="auto"/>
            <w:tcBorders>
              <w:top w:val="nil"/>
              <w:left w:val="nil"/>
              <w:bottom w:val="nil"/>
              <w:right w:val="nil"/>
            </w:tcBorders>
            <w:shd w:val="clear" w:color="auto" w:fill="auto"/>
            <w:vAlign w:val="center"/>
          </w:tcPr>
          <w:p w:rsidR="0070482C" w:rsidRPr="00266BE0" w:rsidRDefault="000947DB" w:rsidP="0070482C">
            <w:r>
              <w:t>$26,500</w:t>
            </w:r>
          </w:p>
        </w:tc>
        <w:tc>
          <w:tcPr>
            <w:tcW w:w="0" w:type="auto"/>
            <w:tcBorders>
              <w:top w:val="nil"/>
              <w:left w:val="nil"/>
              <w:bottom w:val="nil"/>
              <w:right w:val="nil"/>
            </w:tcBorders>
            <w:shd w:val="clear" w:color="auto" w:fill="auto"/>
            <w:vAlign w:val="center"/>
          </w:tcPr>
          <w:p w:rsidR="00F16B4C" w:rsidRPr="00266BE0" w:rsidRDefault="00F16B4C" w:rsidP="00266BE0">
            <w:r w:rsidRPr="0048693E">
              <w:t>$13,</w:t>
            </w:r>
            <w:r w:rsidR="0070482C" w:rsidRPr="0048693E">
              <w:t>250</w:t>
            </w:r>
          </w:p>
        </w:tc>
        <w:tc>
          <w:tcPr>
            <w:tcW w:w="0" w:type="auto"/>
            <w:tcBorders>
              <w:top w:val="nil"/>
              <w:left w:val="nil"/>
              <w:bottom w:val="nil"/>
              <w:right w:val="nil"/>
            </w:tcBorders>
            <w:shd w:val="clear" w:color="auto" w:fill="auto"/>
            <w:vAlign w:val="center"/>
          </w:tcPr>
          <w:p w:rsidR="00F16B4C" w:rsidRPr="00266BE0" w:rsidRDefault="00F16B4C" w:rsidP="00266BE0">
            <w:r w:rsidRPr="0048693E">
              <w:t>$26,</w:t>
            </w:r>
            <w:r w:rsidR="000947DB">
              <w:t>230</w:t>
            </w:r>
          </w:p>
        </w:tc>
      </w:tr>
    </w:tbl>
    <w:p w:rsidR="00455EB6" w:rsidRDefault="00455EB6" w:rsidP="00266BE0">
      <w:pPr>
        <w:spacing w:before="240"/>
      </w:pPr>
      <w:r>
        <w:t>The Tax-Free Savings Account (TFSA) limit for 2018 is $5,500 plus any unused contribution from the program’s introduction in 2009. The current TFSA maximum for all years is $57,500.</w:t>
      </w:r>
    </w:p>
    <w:p w:rsidR="00F16B4C" w:rsidRPr="00266BE0" w:rsidRDefault="0035640C" w:rsidP="00266BE0">
      <w:pPr>
        <w:spacing w:before="240"/>
        <w:rPr>
          <w:rStyle w:val="Hyperlink"/>
        </w:rPr>
      </w:pPr>
      <w:hyperlink r:id="rId17" w:history="1">
        <w:r w:rsidR="000F4586" w:rsidRPr="00752A9A">
          <w:rPr>
            <w:rStyle w:val="Hyperlink"/>
          </w:rPr>
          <w:t>https://www.canada.ca/en/revenue-agency/services/tax/registered-plans-administrators/pspa/mp-rrsp-dpsp-tfsa-limits-ympe.html</w:t>
        </w:r>
      </w:hyperlink>
    </w:p>
    <w:p w:rsidR="00F16B4C" w:rsidRPr="00266BE0" w:rsidRDefault="00F16B4C" w:rsidP="00266BE0">
      <w:pPr>
        <w:pStyle w:val="Subtitle"/>
      </w:pPr>
      <w:r w:rsidRPr="00266BE0">
        <w:t>Retirement Income Fund Withdrawal Calculations and Percentages</w:t>
      </w:r>
    </w:p>
    <w:p w:rsidR="00F16B4C" w:rsidRPr="00266BE0" w:rsidRDefault="0035640C" w:rsidP="00266BE0">
      <w:pPr>
        <w:rPr>
          <w:rStyle w:val="Hyperlink"/>
        </w:rPr>
      </w:pPr>
      <w:r w:rsidRPr="0035640C">
        <w:rPr>
          <w:sz w:val="22"/>
        </w:rPr>
        <w:fldChar w:fldCharType="begin"/>
      </w:r>
      <w:r w:rsidR="00F16B4C" w:rsidRPr="00266BE0">
        <w:instrText xml:space="preserve"> HYPERLINK "https://www.fsco.gov.on.ca/en/pensions/policies/active/Documents/L200-416.pdf" </w:instrText>
      </w:r>
      <w:r w:rsidRPr="0035640C">
        <w:rPr>
          <w:sz w:val="22"/>
        </w:rPr>
        <w:fldChar w:fldCharType="separate"/>
      </w:r>
      <w:r w:rsidR="00F16B4C" w:rsidRPr="00266BE0">
        <w:rPr>
          <w:rStyle w:val="Hyperlink"/>
        </w:rPr>
        <w:t>https://www.fsco.gov.on.ca/en/pensions/policies/active/Documents/L200-416.pdf</w:t>
      </w:r>
    </w:p>
    <w:p w:rsidR="00F16B4C" w:rsidRPr="00266BE0" w:rsidRDefault="0035640C" w:rsidP="00266BE0">
      <w:pPr>
        <w:pStyle w:val="Subtitle"/>
      </w:pPr>
      <w:r w:rsidRPr="00266BE0">
        <w:fldChar w:fldCharType="end"/>
      </w:r>
      <w:r w:rsidR="00F16B4C" w:rsidRPr="00266BE0">
        <w:t>Compassionate Care Leave</w:t>
      </w:r>
    </w:p>
    <w:p w:rsidR="00A82319" w:rsidRDefault="0035640C" w:rsidP="00266BE0">
      <w:hyperlink r:id="rId18" w:history="1">
        <w:r w:rsidR="00F16B4C" w:rsidRPr="00266BE0">
          <w:rPr>
            <w:rStyle w:val="Hyperlink"/>
          </w:rPr>
          <w:t>https://www.canada.ca/en/services/benefits/ei/ei-compassionate.html</w:t>
        </w:r>
      </w:hyperlink>
      <w:r w:rsidR="00F16B4C" w:rsidRPr="00266BE0">
        <w:t xml:space="preserve"> </w:t>
      </w:r>
    </w:p>
    <w:p w:rsidR="00F063F9" w:rsidRDefault="00F063F9" w:rsidP="00F063F9">
      <w:pPr>
        <w:pStyle w:val="Subtitle"/>
        <w:spacing w:after="0"/>
      </w:pPr>
      <w:r>
        <w:t>EI Maternity and Parental Benefits</w:t>
      </w:r>
    </w:p>
    <w:p w:rsidR="00F063F9" w:rsidRDefault="0035640C" w:rsidP="00F063F9">
      <w:pPr>
        <w:spacing w:line="240" w:lineRule="auto"/>
        <w:rPr>
          <w:rStyle w:val="Hyperlink"/>
        </w:rPr>
      </w:pPr>
      <w:hyperlink r:id="rId19" w:history="1">
        <w:r w:rsidR="008A3402" w:rsidRPr="00032CE1">
          <w:rPr>
            <w:rStyle w:val="Hyperlink"/>
          </w:rPr>
          <w:t>https://www.canada.ca/en/services/benefits/ei/ei-maternity-parental.html</w:t>
        </w:r>
      </w:hyperlink>
    </w:p>
    <w:p w:rsidR="008A3402" w:rsidRDefault="008A3402" w:rsidP="00F063F9">
      <w:pPr>
        <w:spacing w:line="240" w:lineRule="auto"/>
        <w:rPr>
          <w:rStyle w:val="Hyperlink"/>
        </w:rPr>
      </w:pPr>
    </w:p>
    <w:p w:rsidR="008A3402" w:rsidRDefault="008A3402" w:rsidP="00F063F9">
      <w:pPr>
        <w:spacing w:line="240" w:lineRule="auto"/>
        <w:rPr>
          <w:rStyle w:val="Hyperlink"/>
        </w:rPr>
      </w:pPr>
    </w:p>
    <w:p w:rsidR="008A3402" w:rsidRPr="008A3402" w:rsidRDefault="008A3402" w:rsidP="008A3402">
      <w:pPr>
        <w:pBdr>
          <w:top w:val="single" w:sz="4" w:space="1" w:color="auto"/>
          <w:left w:val="single" w:sz="4" w:space="0" w:color="auto"/>
          <w:bottom w:val="single" w:sz="4" w:space="1" w:color="auto"/>
          <w:right w:val="single" w:sz="4" w:space="4" w:color="auto"/>
        </w:pBdr>
        <w:spacing w:line="240" w:lineRule="auto"/>
        <w:ind w:left="900" w:right="990"/>
        <w:jc w:val="center"/>
        <w:rPr>
          <w:rStyle w:val="Hyperlink"/>
          <w:color w:val="00A4E1"/>
          <w:u w:val="none"/>
        </w:rPr>
      </w:pPr>
      <w:r w:rsidRPr="008A3402">
        <w:rPr>
          <w:rStyle w:val="Hyperlink"/>
          <w:color w:val="00A4E1"/>
          <w:u w:val="none"/>
        </w:rPr>
        <w:t>The data and information presented in this 2018 guide has been compiled from official government documents and publications. Although we believe the sources to be accurate, readers should refer to the actual legislation if using this data for more than informational purposes.</w:t>
      </w:r>
    </w:p>
    <w:sectPr w:rsidR="008A3402" w:rsidRPr="008A3402" w:rsidSect="000002ED">
      <w:footerReference w:type="even" r:id="rId20"/>
      <w:footerReference w:type="default" r:id="rId21"/>
      <w:pgSz w:w="12240" w:h="15840"/>
      <w:pgMar w:top="792" w:right="720" w:bottom="720" w:left="720" w:header="720" w:footer="4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349" w:rsidRDefault="00550349">
      <w:pPr>
        <w:spacing w:after="0" w:line="240" w:lineRule="auto"/>
      </w:pPr>
      <w:r>
        <w:separator/>
      </w:r>
    </w:p>
  </w:endnote>
  <w:endnote w:type="continuationSeparator" w:id="0">
    <w:p w:rsidR="00550349" w:rsidRDefault="00550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venir Book">
    <w:altName w:val="Corbel"/>
    <w:charset w:val="00"/>
    <w:family w:val="swiss"/>
    <w:pitch w:val="variable"/>
    <w:sig w:usb0="00000001" w:usb1="5000204A" w:usb2="00000000" w:usb3="00000000" w:csb0="0000009B" w:csb1="00000000"/>
  </w:font>
  <w:font w:name="Avenir Heavy">
    <w:altName w:val="Trebuchet MS"/>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Avenir Medium">
    <w:altName w:val="Trebuchet MS"/>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lack">
    <w:altName w:val="Calibri"/>
    <w:charset w:val="00"/>
    <w:family w:val="swiss"/>
    <w:pitch w:val="variable"/>
    <w:sig w:usb0="800000AF" w:usb1="5000204A" w:usb2="00000000" w:usb3="00000000" w:csb0="0000009B" w:csb1="00000000"/>
  </w:font>
  <w:font w:name="Avenir Light">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D5" w:rsidRDefault="0035640C" w:rsidP="000947DB">
    <w:pPr>
      <w:pStyle w:val="Footer"/>
      <w:framePr w:wrap="none" w:vAnchor="text" w:hAnchor="margin" w:xAlign="center" w:y="1"/>
      <w:rPr>
        <w:rStyle w:val="PageNumber"/>
      </w:rPr>
    </w:pPr>
    <w:r>
      <w:rPr>
        <w:rStyle w:val="PageNumber"/>
      </w:rPr>
      <w:fldChar w:fldCharType="begin"/>
    </w:r>
    <w:r w:rsidR="00D81BD5">
      <w:rPr>
        <w:rStyle w:val="PageNumber"/>
      </w:rPr>
      <w:instrText xml:space="preserve">PAGE  </w:instrText>
    </w:r>
    <w:r>
      <w:rPr>
        <w:rStyle w:val="PageNumber"/>
      </w:rPr>
      <w:fldChar w:fldCharType="end"/>
    </w:r>
  </w:p>
  <w:p w:rsidR="00D81BD5" w:rsidRDefault="00D81B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10478"/>
      <w:gridCol w:w="552"/>
    </w:tblGrid>
    <w:tr w:rsidR="00D81BD5" w:rsidTr="00345515">
      <w:trPr>
        <w:jc w:val="right"/>
      </w:trPr>
      <w:tc>
        <w:tcPr>
          <w:tcW w:w="4795" w:type="dxa"/>
          <w:vAlign w:val="center"/>
        </w:tcPr>
        <w:p w:rsidR="00D81BD5" w:rsidRPr="000002ED" w:rsidRDefault="00D81BD5" w:rsidP="000002ED">
          <w:pPr>
            <w:pStyle w:val="Header"/>
            <w:ind w:left="-120"/>
            <w:rPr>
              <w:caps/>
              <w:color w:val="808080" w:themeColor="background1" w:themeShade="80"/>
            </w:rPr>
          </w:pPr>
          <w:r>
            <w:rPr>
              <w:caps/>
              <w:color w:val="808080" w:themeColor="background1" w:themeShade="80"/>
              <w:sz w:val="15"/>
            </w:rPr>
            <w:t>JANUARY</w:t>
          </w:r>
          <w:r w:rsidRPr="00B11E40">
            <w:rPr>
              <w:caps/>
              <w:color w:val="808080" w:themeColor="background1" w:themeShade="80"/>
              <w:sz w:val="15"/>
            </w:rPr>
            <w:t xml:space="preserve"> 201</w:t>
          </w:r>
          <w:r>
            <w:rPr>
              <w:caps/>
              <w:color w:val="808080" w:themeColor="background1" w:themeShade="80"/>
              <w:sz w:val="15"/>
            </w:rPr>
            <w:t>8</w:t>
          </w:r>
        </w:p>
      </w:tc>
      <w:tc>
        <w:tcPr>
          <w:tcW w:w="250" w:type="pct"/>
          <w:shd w:val="clear" w:color="auto" w:fill="008ABE"/>
          <w:vAlign w:val="center"/>
        </w:tcPr>
        <w:p w:rsidR="00D81BD5" w:rsidRDefault="0035640C">
          <w:pPr>
            <w:pStyle w:val="Footer"/>
            <w:tabs>
              <w:tab w:val="clear" w:pos="4680"/>
              <w:tab w:val="clear" w:pos="9360"/>
            </w:tabs>
            <w:jc w:val="center"/>
            <w:rPr>
              <w:color w:val="FFFFFF" w:themeColor="background1"/>
            </w:rPr>
          </w:pPr>
          <w:r>
            <w:rPr>
              <w:color w:val="FFFFFF" w:themeColor="background1"/>
            </w:rPr>
            <w:fldChar w:fldCharType="begin"/>
          </w:r>
          <w:r w:rsidR="00D81BD5">
            <w:rPr>
              <w:color w:val="FFFFFF" w:themeColor="background1"/>
            </w:rPr>
            <w:instrText xml:space="preserve"> PAGE   \* MERGEFORMAT </w:instrText>
          </w:r>
          <w:r>
            <w:rPr>
              <w:color w:val="FFFFFF" w:themeColor="background1"/>
            </w:rPr>
            <w:fldChar w:fldCharType="separate"/>
          </w:r>
          <w:r w:rsidR="00E360A3">
            <w:rPr>
              <w:noProof/>
              <w:color w:val="FFFFFF" w:themeColor="background1"/>
            </w:rPr>
            <w:t>1</w:t>
          </w:r>
          <w:r>
            <w:rPr>
              <w:noProof/>
              <w:color w:val="FFFFFF" w:themeColor="background1"/>
            </w:rPr>
            <w:fldChar w:fldCharType="end"/>
          </w:r>
        </w:p>
      </w:tc>
    </w:tr>
  </w:tbl>
  <w:p w:rsidR="00D81BD5" w:rsidRDefault="00D81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349" w:rsidRDefault="00550349">
      <w:pPr>
        <w:spacing w:after="0" w:line="240" w:lineRule="auto"/>
      </w:pPr>
      <w:r>
        <w:separator/>
      </w:r>
    </w:p>
  </w:footnote>
  <w:footnote w:type="continuationSeparator" w:id="0">
    <w:p w:rsidR="00550349" w:rsidRDefault="00550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478E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1E2F2A"/>
    <w:rsid w:val="000002ED"/>
    <w:rsid w:val="00010527"/>
    <w:rsid w:val="00020AB6"/>
    <w:rsid w:val="000511E6"/>
    <w:rsid w:val="0005342E"/>
    <w:rsid w:val="00075C3E"/>
    <w:rsid w:val="00075DDB"/>
    <w:rsid w:val="000947DB"/>
    <w:rsid w:val="000B42AD"/>
    <w:rsid w:val="000B6621"/>
    <w:rsid w:val="000F4586"/>
    <w:rsid w:val="00111D1B"/>
    <w:rsid w:val="00140CEE"/>
    <w:rsid w:val="00143126"/>
    <w:rsid w:val="001675BA"/>
    <w:rsid w:val="00173AD0"/>
    <w:rsid w:val="001C1BBC"/>
    <w:rsid w:val="001C316D"/>
    <w:rsid w:val="001E2F2A"/>
    <w:rsid w:val="001E3F3F"/>
    <w:rsid w:val="002009E1"/>
    <w:rsid w:val="00221788"/>
    <w:rsid w:val="00221AC1"/>
    <w:rsid w:val="00266BE0"/>
    <w:rsid w:val="00275FDF"/>
    <w:rsid w:val="002854AA"/>
    <w:rsid w:val="002921F5"/>
    <w:rsid w:val="00295DE3"/>
    <w:rsid w:val="002A4FC5"/>
    <w:rsid w:val="002D559A"/>
    <w:rsid w:val="00345515"/>
    <w:rsid w:val="0035640C"/>
    <w:rsid w:val="00403245"/>
    <w:rsid w:val="00411C61"/>
    <w:rsid w:val="0045091D"/>
    <w:rsid w:val="00455EB6"/>
    <w:rsid w:val="004861C4"/>
    <w:rsid w:val="0048693E"/>
    <w:rsid w:val="004A6A47"/>
    <w:rsid w:val="004D4435"/>
    <w:rsid w:val="004E1DA8"/>
    <w:rsid w:val="00544B3E"/>
    <w:rsid w:val="00544BE3"/>
    <w:rsid w:val="00550349"/>
    <w:rsid w:val="00573297"/>
    <w:rsid w:val="005B49B2"/>
    <w:rsid w:val="005F264D"/>
    <w:rsid w:val="00621E0C"/>
    <w:rsid w:val="00627DA2"/>
    <w:rsid w:val="00640A5D"/>
    <w:rsid w:val="00641824"/>
    <w:rsid w:val="00655487"/>
    <w:rsid w:val="00671E7F"/>
    <w:rsid w:val="00692A72"/>
    <w:rsid w:val="006B2F03"/>
    <w:rsid w:val="006E23E9"/>
    <w:rsid w:val="00702A21"/>
    <w:rsid w:val="0070482C"/>
    <w:rsid w:val="00712B40"/>
    <w:rsid w:val="00750697"/>
    <w:rsid w:val="00771711"/>
    <w:rsid w:val="00771AB4"/>
    <w:rsid w:val="0079600D"/>
    <w:rsid w:val="007A2552"/>
    <w:rsid w:val="007A43B7"/>
    <w:rsid w:val="007A62AE"/>
    <w:rsid w:val="007B145D"/>
    <w:rsid w:val="007B678D"/>
    <w:rsid w:val="007C1D2A"/>
    <w:rsid w:val="008068E8"/>
    <w:rsid w:val="00816B45"/>
    <w:rsid w:val="008763BF"/>
    <w:rsid w:val="008956E6"/>
    <w:rsid w:val="008A3402"/>
    <w:rsid w:val="008C4848"/>
    <w:rsid w:val="008C54CD"/>
    <w:rsid w:val="008E34AB"/>
    <w:rsid w:val="008E4663"/>
    <w:rsid w:val="008E4B69"/>
    <w:rsid w:val="00925231"/>
    <w:rsid w:val="00930DC1"/>
    <w:rsid w:val="0094006C"/>
    <w:rsid w:val="00950C63"/>
    <w:rsid w:val="00963386"/>
    <w:rsid w:val="00970B77"/>
    <w:rsid w:val="009A17F1"/>
    <w:rsid w:val="009F3439"/>
    <w:rsid w:val="00A141F1"/>
    <w:rsid w:val="00A40C50"/>
    <w:rsid w:val="00A82319"/>
    <w:rsid w:val="00A83B58"/>
    <w:rsid w:val="00AA17BD"/>
    <w:rsid w:val="00AF0248"/>
    <w:rsid w:val="00B1019E"/>
    <w:rsid w:val="00B11E40"/>
    <w:rsid w:val="00B14ADF"/>
    <w:rsid w:val="00B37759"/>
    <w:rsid w:val="00B72275"/>
    <w:rsid w:val="00B74872"/>
    <w:rsid w:val="00C07208"/>
    <w:rsid w:val="00C20AF2"/>
    <w:rsid w:val="00C31E9A"/>
    <w:rsid w:val="00C33F81"/>
    <w:rsid w:val="00C34E06"/>
    <w:rsid w:val="00C35062"/>
    <w:rsid w:val="00C6196E"/>
    <w:rsid w:val="00C720E3"/>
    <w:rsid w:val="00C76B77"/>
    <w:rsid w:val="00CF5706"/>
    <w:rsid w:val="00D458DD"/>
    <w:rsid w:val="00D478DC"/>
    <w:rsid w:val="00D72EC1"/>
    <w:rsid w:val="00D816B3"/>
    <w:rsid w:val="00D81BD5"/>
    <w:rsid w:val="00DF668E"/>
    <w:rsid w:val="00E237E5"/>
    <w:rsid w:val="00E33E6E"/>
    <w:rsid w:val="00E360A3"/>
    <w:rsid w:val="00E5446E"/>
    <w:rsid w:val="00E55F16"/>
    <w:rsid w:val="00E670FC"/>
    <w:rsid w:val="00E81659"/>
    <w:rsid w:val="00E82398"/>
    <w:rsid w:val="00E85897"/>
    <w:rsid w:val="00EC4422"/>
    <w:rsid w:val="00F063F9"/>
    <w:rsid w:val="00F16B4C"/>
    <w:rsid w:val="00F23325"/>
    <w:rsid w:val="00F40A30"/>
    <w:rsid w:val="00F47EA9"/>
    <w:rsid w:val="00F60D4A"/>
    <w:rsid w:val="00FA30A0"/>
    <w:rsid w:val="00FB6FA0"/>
    <w:rsid w:val="00FE5D8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kern w:val="2"/>
        <w:lang w:val="en-US" w:eastAsia="ja-JP" w:bidi="ar-SA"/>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 w:qFormat="1"/>
    <w:lsdException w:name="Title" w:semiHidden="0" w:uiPriority="10" w:unhideWhenUsed="0" w:qFormat="1"/>
    <w:lsdException w:name="Default Paragraph Font" w:uiPriority="1"/>
    <w:lsdException w:name="Subtitle" w:semiHidden="0" w:uiPriority="2"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98"/>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45515"/>
    <w:rPr>
      <w:rFonts w:ascii="Avenir Book" w:hAnsi="Avenir Book"/>
    </w:rPr>
  </w:style>
  <w:style w:type="paragraph" w:styleId="Heading1">
    <w:name w:val="heading 1"/>
    <w:basedOn w:val="Normal"/>
    <w:next w:val="Normal"/>
    <w:link w:val="Heading1Char"/>
    <w:uiPriority w:val="3"/>
    <w:qFormat/>
    <w:rsid w:val="00930DC1"/>
    <w:pPr>
      <w:keepNext/>
      <w:keepLines/>
      <w:spacing w:before="360" w:after="140"/>
      <w:outlineLvl w:val="0"/>
    </w:pPr>
    <w:rPr>
      <w:rFonts w:ascii="Avenir Heavy" w:eastAsiaTheme="majorEastAsia" w:hAnsi="Avenir Heavy" w:cstheme="majorBidi"/>
      <w:b/>
      <w:bCs/>
      <w:caps/>
      <w:color w:val="1F7DB3"/>
      <w:sz w:val="28"/>
    </w:rPr>
  </w:style>
  <w:style w:type="paragraph" w:styleId="Heading2">
    <w:name w:val="heading 2"/>
    <w:basedOn w:val="Normal"/>
    <w:next w:val="Normal"/>
    <w:link w:val="Heading2Char"/>
    <w:uiPriority w:val="3"/>
    <w:unhideWhenUsed/>
    <w:qFormat/>
    <w:rsid w:val="00771AB4"/>
    <w:pPr>
      <w:keepNext/>
      <w:keepLines/>
      <w:spacing w:before="200" w:after="120" w:line="240" w:lineRule="auto"/>
      <w:outlineLvl w:val="1"/>
    </w:pPr>
    <w:rPr>
      <w:rFonts w:ascii="Avenir Medium" w:eastAsiaTheme="majorEastAsia" w:hAnsi="Avenir Medium" w:cstheme="majorBidi"/>
      <w:color w:val="AF4E12" w:themeColor="accent1" w:themeShade="BF"/>
    </w:rPr>
  </w:style>
  <w:style w:type="paragraph" w:styleId="Heading3">
    <w:name w:val="heading 3"/>
    <w:basedOn w:val="Normal"/>
    <w:next w:val="Normal"/>
    <w:link w:val="Heading3Char"/>
    <w:uiPriority w:val="3"/>
    <w:unhideWhenUsed/>
    <w:qFormat/>
    <w:rsid w:val="0035640C"/>
    <w:pPr>
      <w:keepNext/>
      <w:keepLines/>
      <w:spacing w:before="120" w:after="0"/>
      <w:outlineLvl w:val="2"/>
    </w:pPr>
    <w:rPr>
      <w:b/>
      <w:bCs/>
    </w:rPr>
  </w:style>
  <w:style w:type="paragraph" w:styleId="Heading4">
    <w:name w:val="heading 4"/>
    <w:basedOn w:val="Normal"/>
    <w:next w:val="Normal"/>
    <w:link w:val="Heading4Char"/>
    <w:uiPriority w:val="3"/>
    <w:semiHidden/>
    <w:unhideWhenUsed/>
    <w:qFormat/>
    <w:rsid w:val="0035640C"/>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35640C"/>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40C"/>
    <w:rPr>
      <w:color w:val="808080"/>
    </w:rPr>
  </w:style>
  <w:style w:type="paragraph" w:styleId="Title">
    <w:name w:val="Title"/>
    <w:basedOn w:val="Normal"/>
    <w:link w:val="TitleChar"/>
    <w:uiPriority w:val="1"/>
    <w:qFormat/>
    <w:rsid w:val="00771AB4"/>
    <w:pPr>
      <w:spacing w:before="120" w:after="0" w:line="204" w:lineRule="auto"/>
      <w:contextualSpacing/>
    </w:pPr>
    <w:rPr>
      <w:rFonts w:ascii="Avenir Black" w:eastAsiaTheme="majorEastAsia" w:hAnsi="Avenir Black" w:cstheme="majorBidi"/>
      <w:b/>
      <w:bCs/>
      <w:kern w:val="28"/>
      <w:sz w:val="72"/>
      <w:szCs w:val="72"/>
    </w:rPr>
  </w:style>
  <w:style w:type="character" w:customStyle="1" w:styleId="TitleChar">
    <w:name w:val="Title Char"/>
    <w:basedOn w:val="DefaultParagraphFont"/>
    <w:link w:val="Title"/>
    <w:uiPriority w:val="1"/>
    <w:rsid w:val="00771AB4"/>
    <w:rPr>
      <w:rFonts w:ascii="Avenir Black" w:eastAsiaTheme="majorEastAsia" w:hAnsi="Avenir Black" w:cstheme="majorBidi"/>
      <w:b/>
      <w:bCs/>
      <w:kern w:val="28"/>
      <w:sz w:val="72"/>
      <w:szCs w:val="72"/>
    </w:rPr>
  </w:style>
  <w:style w:type="paragraph" w:styleId="Subtitle">
    <w:name w:val="Subtitle"/>
    <w:basedOn w:val="Normal"/>
    <w:link w:val="SubtitleChar"/>
    <w:uiPriority w:val="2"/>
    <w:qFormat/>
    <w:rsid w:val="00266BE0"/>
    <w:pPr>
      <w:numPr>
        <w:ilvl w:val="1"/>
      </w:numPr>
      <w:spacing w:before="480" w:after="120" w:line="240" w:lineRule="auto"/>
    </w:pPr>
    <w:rPr>
      <w:rFonts w:ascii="Avenir Light" w:eastAsiaTheme="majorEastAsia" w:hAnsi="Avenir Light" w:cstheme="majorBidi"/>
      <w:color w:val="5A5A5A" w:themeColor="text1" w:themeTint="A5"/>
      <w:sz w:val="32"/>
    </w:rPr>
  </w:style>
  <w:style w:type="character" w:customStyle="1" w:styleId="SubtitleChar">
    <w:name w:val="Subtitle Char"/>
    <w:basedOn w:val="DefaultParagraphFont"/>
    <w:link w:val="Subtitle"/>
    <w:uiPriority w:val="2"/>
    <w:rsid w:val="00266BE0"/>
    <w:rPr>
      <w:rFonts w:ascii="Avenir Light" w:eastAsiaTheme="majorEastAsia" w:hAnsi="Avenir Light" w:cstheme="majorBidi"/>
      <w:color w:val="5A5A5A" w:themeColor="text1" w:themeTint="A5"/>
      <w:sz w:val="32"/>
    </w:rPr>
  </w:style>
  <w:style w:type="table" w:styleId="TableGrid">
    <w:name w:val="Table Grid"/>
    <w:basedOn w:val="TableNormal"/>
    <w:uiPriority w:val="39"/>
    <w:rsid w:val="00356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sid w:val="00930DC1"/>
    <w:rPr>
      <w:rFonts w:ascii="Avenir Heavy" w:eastAsiaTheme="majorEastAsia" w:hAnsi="Avenir Heavy" w:cstheme="majorBidi"/>
      <w:b/>
      <w:bCs/>
      <w:caps/>
      <w:color w:val="1F7DB3"/>
      <w:sz w:val="28"/>
    </w:rPr>
  </w:style>
  <w:style w:type="paragraph" w:customStyle="1" w:styleId="BlockHeading">
    <w:name w:val="Block Heading"/>
    <w:basedOn w:val="Normal"/>
    <w:next w:val="BlockText"/>
    <w:uiPriority w:val="3"/>
    <w:qFormat/>
    <w:rsid w:val="00771AB4"/>
    <w:pPr>
      <w:spacing w:after="180" w:line="216" w:lineRule="auto"/>
      <w:ind w:left="288" w:right="288"/>
    </w:pPr>
    <w:rPr>
      <w:rFonts w:ascii="Avenir Black" w:eastAsiaTheme="majorEastAsia" w:hAnsi="Avenir Black" w:cstheme="majorBidi"/>
      <w:b/>
      <w:bCs/>
      <w:caps/>
      <w:color w:val="FFFFFF" w:themeColor="background1"/>
      <w:sz w:val="28"/>
    </w:rPr>
  </w:style>
  <w:style w:type="paragraph" w:styleId="Caption">
    <w:name w:val="caption"/>
    <w:basedOn w:val="Normal"/>
    <w:next w:val="Normal"/>
    <w:uiPriority w:val="3"/>
    <w:unhideWhenUsed/>
    <w:qFormat/>
    <w:rsid w:val="0035640C"/>
    <w:pPr>
      <w:spacing w:before="120" w:after="0" w:line="240" w:lineRule="auto"/>
    </w:pPr>
    <w:rPr>
      <w:i/>
      <w:iCs/>
      <w:color w:val="595959" w:themeColor="text1" w:themeTint="A6"/>
      <w:sz w:val="18"/>
    </w:rPr>
  </w:style>
  <w:style w:type="paragraph" w:styleId="BlockText">
    <w:name w:val="Block Text"/>
    <w:basedOn w:val="Normal"/>
    <w:uiPriority w:val="3"/>
    <w:unhideWhenUsed/>
    <w:qFormat/>
    <w:rsid w:val="0035640C"/>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3"/>
    <w:rsid w:val="00771AB4"/>
    <w:rPr>
      <w:rFonts w:ascii="Avenir Medium" w:eastAsiaTheme="majorEastAsia" w:hAnsi="Avenir Medium" w:cstheme="majorBidi"/>
      <w:color w:val="AF4E12" w:themeColor="accent1" w:themeShade="BF"/>
      <w:sz w:val="24"/>
    </w:rPr>
  </w:style>
  <w:style w:type="character" w:customStyle="1" w:styleId="Heading3Char">
    <w:name w:val="Heading 3 Char"/>
    <w:basedOn w:val="DefaultParagraphFont"/>
    <w:link w:val="Heading3"/>
    <w:uiPriority w:val="3"/>
    <w:rsid w:val="0035640C"/>
    <w:rPr>
      <w:b/>
      <w:bCs/>
    </w:rPr>
  </w:style>
  <w:style w:type="paragraph" w:styleId="Quote">
    <w:name w:val="Quote"/>
    <w:basedOn w:val="Normal"/>
    <w:next w:val="Normal"/>
    <w:link w:val="QuoteChar"/>
    <w:uiPriority w:val="3"/>
    <w:qFormat/>
    <w:rsid w:val="0035640C"/>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sid w:val="0035640C"/>
    <w:rPr>
      <w:i/>
      <w:iCs/>
      <w:sz w:val="28"/>
    </w:rPr>
  </w:style>
  <w:style w:type="character" w:customStyle="1" w:styleId="Heading4Char">
    <w:name w:val="Heading 4 Char"/>
    <w:basedOn w:val="DefaultParagraphFont"/>
    <w:link w:val="Heading4"/>
    <w:uiPriority w:val="3"/>
    <w:semiHidden/>
    <w:rsid w:val="0035640C"/>
    <w:rPr>
      <w:rFonts w:asciiTheme="majorHAnsi" w:eastAsiaTheme="majorEastAsia" w:hAnsiTheme="majorHAnsi" w:cstheme="majorBidi"/>
    </w:rPr>
  </w:style>
  <w:style w:type="paragraph" w:customStyle="1" w:styleId="ContactInfo">
    <w:name w:val="Contact Info"/>
    <w:basedOn w:val="Normal"/>
    <w:uiPriority w:val="5"/>
    <w:qFormat/>
    <w:rsid w:val="0035640C"/>
    <w:pPr>
      <w:spacing w:after="0"/>
    </w:pPr>
  </w:style>
  <w:style w:type="paragraph" w:customStyle="1" w:styleId="ContactHeading">
    <w:name w:val="Contact Heading"/>
    <w:basedOn w:val="Normal"/>
    <w:uiPriority w:val="4"/>
    <w:qFormat/>
    <w:rsid w:val="0035640C"/>
    <w:pPr>
      <w:spacing w:before="320" w:line="240" w:lineRule="auto"/>
    </w:pPr>
    <w:rPr>
      <w:rFonts w:asciiTheme="majorHAnsi" w:eastAsiaTheme="majorEastAsia" w:hAnsiTheme="majorHAnsi" w:cstheme="majorBidi"/>
      <w:color w:val="AF4E12" w:themeColor="accent1" w:themeShade="BF"/>
    </w:rPr>
  </w:style>
  <w:style w:type="character" w:styleId="CommentReference">
    <w:name w:val="annotation reference"/>
    <w:basedOn w:val="DefaultParagraphFont"/>
    <w:uiPriority w:val="99"/>
    <w:semiHidden/>
    <w:unhideWhenUsed/>
    <w:rsid w:val="0035640C"/>
    <w:rPr>
      <w:sz w:val="16"/>
      <w:szCs w:val="16"/>
    </w:rPr>
  </w:style>
  <w:style w:type="paragraph" w:styleId="BalloonText">
    <w:name w:val="Balloon Text"/>
    <w:basedOn w:val="Normal"/>
    <w:link w:val="BalloonTextChar"/>
    <w:uiPriority w:val="99"/>
    <w:semiHidden/>
    <w:unhideWhenUsed/>
    <w:rsid w:val="0035640C"/>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5640C"/>
    <w:rPr>
      <w:rFonts w:ascii="Segoe UI" w:hAnsi="Segoe UI" w:cs="Segoe UI"/>
      <w:sz w:val="18"/>
    </w:rPr>
  </w:style>
  <w:style w:type="paragraph" w:styleId="CommentText">
    <w:name w:val="annotation text"/>
    <w:basedOn w:val="Normal"/>
    <w:link w:val="CommentTextChar"/>
    <w:uiPriority w:val="99"/>
    <w:semiHidden/>
    <w:unhideWhenUsed/>
    <w:rsid w:val="0035640C"/>
    <w:pPr>
      <w:spacing w:after="160" w:line="240" w:lineRule="auto"/>
    </w:pPr>
    <w:rPr>
      <w:color w:val="auto"/>
      <w:kern w:val="0"/>
      <w:lang w:eastAsia="en-US"/>
    </w:rPr>
  </w:style>
  <w:style w:type="character" w:customStyle="1" w:styleId="CommentTextChar">
    <w:name w:val="Comment Text Char"/>
    <w:basedOn w:val="DefaultParagraphFont"/>
    <w:link w:val="CommentText"/>
    <w:uiPriority w:val="99"/>
    <w:semiHidden/>
    <w:rsid w:val="0035640C"/>
    <w:rPr>
      <w:color w:val="auto"/>
      <w:kern w:val="0"/>
      <w:lang w:eastAsia="en-US"/>
    </w:rPr>
  </w:style>
  <w:style w:type="paragraph" w:customStyle="1" w:styleId="Organization">
    <w:name w:val="Organization"/>
    <w:basedOn w:val="Normal"/>
    <w:uiPriority w:val="7"/>
    <w:qFormat/>
    <w:rsid w:val="00020AB6"/>
    <w:pPr>
      <w:spacing w:after="240"/>
    </w:pPr>
    <w:rPr>
      <w:rFonts w:ascii="Avenir Medium" w:eastAsiaTheme="majorEastAsia" w:hAnsi="Avenir Medium" w:cstheme="majorBidi"/>
      <w:caps/>
      <w:color w:val="C00000"/>
      <w:spacing w:val="20"/>
      <w:sz w:val="28"/>
    </w:rPr>
  </w:style>
  <w:style w:type="character" w:customStyle="1" w:styleId="Heading5Char">
    <w:name w:val="Heading 5 Char"/>
    <w:basedOn w:val="DefaultParagraphFont"/>
    <w:link w:val="Heading5"/>
    <w:uiPriority w:val="9"/>
    <w:semiHidden/>
    <w:rsid w:val="0035640C"/>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sid w:val="0035640C"/>
    <w:rPr>
      <w:i/>
      <w:iCs/>
      <w:color w:val="AF4E12" w:themeColor="accent1" w:themeShade="BF"/>
    </w:rPr>
  </w:style>
  <w:style w:type="paragraph" w:styleId="IntenseQuote">
    <w:name w:val="Intense Quote"/>
    <w:basedOn w:val="Normal"/>
    <w:next w:val="Normal"/>
    <w:link w:val="IntenseQuoteChar"/>
    <w:uiPriority w:val="30"/>
    <w:semiHidden/>
    <w:unhideWhenUsed/>
    <w:qFormat/>
    <w:rsid w:val="0035640C"/>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sid w:val="0035640C"/>
    <w:rPr>
      <w:i/>
      <w:iCs/>
      <w:color w:val="AF4E12" w:themeColor="accent1" w:themeShade="BF"/>
    </w:rPr>
  </w:style>
  <w:style w:type="character" w:styleId="IntenseReference">
    <w:name w:val="Intense Reference"/>
    <w:basedOn w:val="DefaultParagraphFont"/>
    <w:uiPriority w:val="32"/>
    <w:semiHidden/>
    <w:unhideWhenUsed/>
    <w:qFormat/>
    <w:rsid w:val="0035640C"/>
    <w:rPr>
      <w:b/>
      <w:bCs/>
      <w:caps w:val="0"/>
      <w:smallCaps/>
      <w:color w:val="AF4E12" w:themeColor="accent1" w:themeShade="BF"/>
      <w:spacing w:val="5"/>
    </w:rPr>
  </w:style>
  <w:style w:type="paragraph" w:styleId="Header">
    <w:name w:val="header"/>
    <w:basedOn w:val="Normal"/>
    <w:link w:val="HeaderChar"/>
    <w:uiPriority w:val="99"/>
    <w:rsid w:val="00356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40C"/>
  </w:style>
  <w:style w:type="paragraph" w:styleId="Footer">
    <w:name w:val="footer"/>
    <w:basedOn w:val="Normal"/>
    <w:link w:val="FooterChar"/>
    <w:uiPriority w:val="99"/>
    <w:rsid w:val="00356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40C"/>
  </w:style>
  <w:style w:type="paragraph" w:customStyle="1" w:styleId="ContactInfoBold">
    <w:name w:val="Contact Info Bold"/>
    <w:basedOn w:val="Normal"/>
    <w:uiPriority w:val="6"/>
    <w:qFormat/>
    <w:rsid w:val="0035640C"/>
    <w:pPr>
      <w:spacing w:after="0"/>
    </w:pPr>
    <w:rPr>
      <w:b/>
      <w:noProof/>
    </w:rPr>
  </w:style>
  <w:style w:type="character" w:styleId="Hyperlink">
    <w:name w:val="Hyperlink"/>
    <w:basedOn w:val="DefaultParagraphFont"/>
    <w:uiPriority w:val="99"/>
    <w:unhideWhenUsed/>
    <w:rsid w:val="00F16B4C"/>
    <w:rPr>
      <w:color w:val="3E84A3" w:themeColor="hyperlink"/>
      <w:u w:val="single"/>
    </w:rPr>
  </w:style>
  <w:style w:type="character" w:styleId="FollowedHyperlink">
    <w:name w:val="FollowedHyperlink"/>
    <w:basedOn w:val="DefaultParagraphFont"/>
    <w:uiPriority w:val="99"/>
    <w:semiHidden/>
    <w:unhideWhenUsed/>
    <w:rsid w:val="00266BE0"/>
    <w:rPr>
      <w:color w:val="784869" w:themeColor="followedHyperlink"/>
      <w:u w:val="single"/>
    </w:rPr>
  </w:style>
  <w:style w:type="character" w:styleId="PageNumber">
    <w:name w:val="page number"/>
    <w:basedOn w:val="DefaultParagraphFont"/>
    <w:uiPriority w:val="99"/>
    <w:semiHidden/>
    <w:unhideWhenUsed/>
    <w:rsid w:val="00925231"/>
  </w:style>
  <w:style w:type="character" w:customStyle="1" w:styleId="UnresolvedMention1">
    <w:name w:val="Unresolved Mention1"/>
    <w:basedOn w:val="DefaultParagraphFont"/>
    <w:uiPriority w:val="99"/>
    <w:rsid w:val="00F40A3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ada.ca/en/services/benefits/ei/ei-critically-ill-children.html" TargetMode="External"/><Relationship Id="rId18" Type="http://schemas.openxmlformats.org/officeDocument/2006/relationships/hyperlink" Target="https://www.canada.ca/en/services/benefits/ei/ei-compassionate.html"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anada.ca/en/services/benefits/publicpensions/cpp/cpp-benefit/amount.html" TargetMode="External"/><Relationship Id="rId17" Type="http://schemas.openxmlformats.org/officeDocument/2006/relationships/hyperlink" Target="https://www.canada.ca/en/revenue-agency/services/tax/registered-plans-administrators/pspa/mp-rrsp-dpsp-tfsa-limits-ympe.html" TargetMode="External"/><Relationship Id="rId2" Type="http://schemas.openxmlformats.org/officeDocument/2006/relationships/customXml" Target="../customXml/item2.xml"/><Relationship Id="rId16" Type="http://schemas.openxmlformats.org/officeDocument/2006/relationships/hyperlink" Target="https://www.canada.ca/en/employment-social-development/programs/ei/ei-list/ei-employers/2018-rates-multipl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ada.ca/en/revenue-agency/services/tax/businesses/topics/payroll/payroll-deductions-contributions/canada-pension-plan-cpp/cpp-contribution-rates-maximums-exemptions.html" TargetMode="External"/><Relationship Id="rId5" Type="http://schemas.openxmlformats.org/officeDocument/2006/relationships/settings" Target="settings.xml"/><Relationship Id="rId15" Type="http://schemas.openxmlformats.org/officeDocument/2006/relationships/hyperlink" Target="http://servicecanada.gc.ca/eng/sc/ei/index.s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canada.ca/en/services/benefits/ei/ei-maternity-parental.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anada.ca/en/employment-social-development/programs/ei/ei-list/reports/premium/rates2018.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F0BB4B36-FD90-4C12-9C20-221C2392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December 2017</dc:creator>
  <cp:lastModifiedBy>Richard Dobing</cp:lastModifiedBy>
  <cp:revision>2</cp:revision>
  <cp:lastPrinted>2018-01-16T14:17:00Z</cp:lastPrinted>
  <dcterms:created xsi:type="dcterms:W3CDTF">2018-02-22T15:25:00Z</dcterms:created>
  <dcterms:modified xsi:type="dcterms:W3CDTF">2018-02-22T15:25:00Z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